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2F8" w:rsidRPr="004441B6" w:rsidRDefault="00C712F8" w:rsidP="00C712F8">
      <w:pPr>
        <w:pStyle w:val="NormalWeb"/>
        <w:jc w:val="center"/>
        <w:rPr>
          <w:rFonts w:ascii="Verdana" w:hAnsi="Verdana"/>
          <w:sz w:val="20"/>
          <w:szCs w:val="20"/>
        </w:rPr>
      </w:pPr>
      <w:bookmarkStart w:id="0" w:name="_GoBack"/>
      <w:bookmarkEnd w:id="0"/>
      <w:r w:rsidRPr="004441B6">
        <w:rPr>
          <w:rFonts w:ascii="Verdana" w:hAnsi="Verdana" w:cs="Times New Roman"/>
          <w:b/>
          <w:bCs/>
          <w:color w:val="333399"/>
          <w:sz w:val="20"/>
          <w:szCs w:val="20"/>
        </w:rPr>
        <w:t>THE MODULAR RESEARCH GRANT PROPOSAL</w:t>
      </w:r>
      <w:proofErr w:type="gramStart"/>
      <w:r w:rsidRPr="004441B6">
        <w:rPr>
          <w:rFonts w:ascii="Verdana" w:hAnsi="Verdana" w:cs="Times New Roman"/>
          <w:b/>
          <w:bCs/>
          <w:color w:val="333399"/>
          <w:sz w:val="20"/>
          <w:szCs w:val="20"/>
        </w:rPr>
        <w:t>:</w:t>
      </w:r>
      <w:proofErr w:type="gramEnd"/>
      <w:r w:rsidRPr="004441B6">
        <w:rPr>
          <w:rFonts w:ascii="Verdana" w:hAnsi="Verdana" w:cs="Times New Roman"/>
          <w:b/>
          <w:bCs/>
          <w:color w:val="333399"/>
          <w:sz w:val="20"/>
          <w:szCs w:val="20"/>
        </w:rPr>
        <w:br/>
        <w:t>FEATURES AT A GLANCE</w:t>
      </w:r>
    </w:p>
    <w:p w:rsidR="00C712F8" w:rsidRPr="004441B6" w:rsidRDefault="00C712F8" w:rsidP="00C712F8">
      <w:pPr>
        <w:numPr>
          <w:ilvl w:val="0"/>
          <w:numId w:val="1"/>
        </w:numPr>
        <w:spacing w:before="100" w:beforeAutospacing="1" w:after="240"/>
        <w:rPr>
          <w:rFonts w:ascii="Verdana" w:hAnsi="Verdana" w:cs="Arial"/>
          <w:sz w:val="20"/>
          <w:szCs w:val="20"/>
        </w:rPr>
      </w:pPr>
      <w:r w:rsidRPr="004441B6">
        <w:rPr>
          <w:rFonts w:ascii="Verdana" w:hAnsi="Verdana" w:cs="Arial"/>
          <w:sz w:val="20"/>
          <w:szCs w:val="20"/>
        </w:rPr>
        <w:t xml:space="preserve">Applies to research grant applications requesting up to $250,000 direct costs per year. </w:t>
      </w:r>
    </w:p>
    <w:p w:rsidR="00C712F8" w:rsidRPr="004441B6" w:rsidRDefault="00C712F8" w:rsidP="00C712F8">
      <w:pPr>
        <w:numPr>
          <w:ilvl w:val="0"/>
          <w:numId w:val="1"/>
        </w:numPr>
        <w:spacing w:before="100" w:beforeAutospacing="1" w:after="240"/>
        <w:rPr>
          <w:rFonts w:ascii="Verdana" w:hAnsi="Verdana" w:cs="Arial"/>
          <w:sz w:val="20"/>
          <w:szCs w:val="20"/>
        </w:rPr>
      </w:pPr>
      <w:r w:rsidRPr="004441B6">
        <w:rPr>
          <w:rFonts w:ascii="Verdana" w:hAnsi="Verdana" w:cs="Arial"/>
          <w:sz w:val="20"/>
          <w:szCs w:val="20"/>
        </w:rPr>
        <w:t xml:space="preserve">Request total direct costs in modules of $25,000, reflecting appropriate support for the project. There will be no future year escalations. </w:t>
      </w:r>
    </w:p>
    <w:p w:rsidR="00C712F8" w:rsidRPr="004441B6" w:rsidRDefault="00C712F8" w:rsidP="00C712F8">
      <w:pPr>
        <w:numPr>
          <w:ilvl w:val="0"/>
          <w:numId w:val="1"/>
        </w:numPr>
        <w:spacing w:before="100" w:beforeAutospacing="1" w:after="240"/>
        <w:rPr>
          <w:rFonts w:ascii="Verdana" w:hAnsi="Verdana" w:cs="Arial"/>
          <w:sz w:val="20"/>
          <w:szCs w:val="20"/>
        </w:rPr>
      </w:pPr>
      <w:r w:rsidRPr="004441B6">
        <w:rPr>
          <w:rFonts w:ascii="Verdana" w:hAnsi="Verdana" w:cs="Arial"/>
          <w:sz w:val="20"/>
          <w:szCs w:val="20"/>
        </w:rPr>
        <w:t xml:space="preserve">A typical modular grant application will request the same number of modules in each year. </w:t>
      </w:r>
    </w:p>
    <w:p w:rsidR="00C712F8" w:rsidRPr="004441B6" w:rsidRDefault="00C712F8" w:rsidP="00C712F8">
      <w:pPr>
        <w:numPr>
          <w:ilvl w:val="0"/>
          <w:numId w:val="1"/>
        </w:numPr>
        <w:spacing w:before="100" w:beforeAutospacing="1" w:after="240"/>
        <w:rPr>
          <w:rFonts w:ascii="Verdana" w:hAnsi="Verdana" w:cs="Arial"/>
          <w:sz w:val="20"/>
          <w:szCs w:val="20"/>
        </w:rPr>
      </w:pPr>
      <w:r w:rsidRPr="004441B6">
        <w:rPr>
          <w:rFonts w:ascii="Verdana" w:hAnsi="Verdana" w:cs="Arial"/>
          <w:sz w:val="20"/>
          <w:szCs w:val="20"/>
        </w:rPr>
        <w:t xml:space="preserve">Provide budget narrative regarding </w:t>
      </w:r>
      <w:r w:rsidRPr="004441B6">
        <w:rPr>
          <w:rFonts w:ascii="Verdana" w:hAnsi="Verdana" w:cs="Arial"/>
          <w:b/>
          <w:bCs/>
          <w:sz w:val="20"/>
          <w:szCs w:val="20"/>
        </w:rPr>
        <w:t>all</w:t>
      </w:r>
      <w:r w:rsidRPr="004441B6">
        <w:rPr>
          <w:rFonts w:ascii="Verdana" w:hAnsi="Verdana" w:cs="Arial"/>
          <w:sz w:val="20"/>
          <w:szCs w:val="20"/>
        </w:rPr>
        <w:t xml:space="preserve"> Personnel by position, role, and level of effort. This includes consultants, personnel on any Consortium/Contractual arrangement and any "to be appointed" positions. </w:t>
      </w:r>
    </w:p>
    <w:p w:rsidR="00C712F8" w:rsidRPr="004441B6" w:rsidRDefault="00C712F8" w:rsidP="00C712F8">
      <w:pPr>
        <w:numPr>
          <w:ilvl w:val="0"/>
          <w:numId w:val="1"/>
        </w:numPr>
        <w:spacing w:before="100" w:beforeAutospacing="1" w:after="240"/>
        <w:rPr>
          <w:rFonts w:ascii="Verdana" w:hAnsi="Verdana" w:cs="Arial"/>
          <w:sz w:val="20"/>
          <w:szCs w:val="20"/>
        </w:rPr>
      </w:pPr>
      <w:r w:rsidRPr="004441B6">
        <w:rPr>
          <w:rFonts w:ascii="Verdana" w:hAnsi="Verdana" w:cs="Arial"/>
          <w:sz w:val="20"/>
          <w:szCs w:val="20"/>
        </w:rPr>
        <w:t xml:space="preserve">Include a total cost estimate for any Consortium/Contractual arrangements. </w:t>
      </w:r>
    </w:p>
    <w:p w:rsidR="00C712F8" w:rsidRPr="004441B6" w:rsidRDefault="00C712F8" w:rsidP="00C712F8">
      <w:pPr>
        <w:numPr>
          <w:ilvl w:val="0"/>
          <w:numId w:val="1"/>
        </w:numPr>
        <w:spacing w:before="100" w:beforeAutospacing="1" w:after="240"/>
        <w:rPr>
          <w:rFonts w:ascii="Verdana" w:hAnsi="Verdana" w:cs="Arial"/>
          <w:sz w:val="20"/>
          <w:szCs w:val="20"/>
        </w:rPr>
      </w:pPr>
      <w:r w:rsidRPr="004441B6">
        <w:rPr>
          <w:rFonts w:ascii="Verdana" w:hAnsi="Verdana" w:cs="Arial"/>
          <w:sz w:val="20"/>
          <w:szCs w:val="20"/>
        </w:rPr>
        <w:t xml:space="preserve">Additional narrative budget justification will be required in the application only if there is a variation in the number of modules requested. </w:t>
      </w:r>
    </w:p>
    <w:p w:rsidR="00C712F8" w:rsidRPr="004441B6" w:rsidRDefault="00C712F8" w:rsidP="00C712F8">
      <w:pPr>
        <w:numPr>
          <w:ilvl w:val="0"/>
          <w:numId w:val="1"/>
        </w:numPr>
        <w:spacing w:before="100" w:beforeAutospacing="1" w:after="240"/>
        <w:rPr>
          <w:rFonts w:ascii="Verdana" w:hAnsi="Verdana" w:cs="Arial"/>
          <w:sz w:val="20"/>
          <w:szCs w:val="20"/>
        </w:rPr>
      </w:pPr>
      <w:r w:rsidRPr="004441B6">
        <w:rPr>
          <w:rFonts w:ascii="Verdana" w:hAnsi="Verdana" w:cs="Arial"/>
          <w:sz w:val="20"/>
          <w:szCs w:val="20"/>
        </w:rPr>
        <w:t xml:space="preserve">Describe specific aims of research projects ongoing or completed during the last three years as part of the Biographical Sketch. The Biographical Sketch will be limited to four pages. </w:t>
      </w:r>
    </w:p>
    <w:p w:rsidR="00C712F8" w:rsidRPr="004441B6" w:rsidRDefault="00C712F8" w:rsidP="00C712F8">
      <w:pPr>
        <w:numPr>
          <w:ilvl w:val="0"/>
          <w:numId w:val="1"/>
        </w:numPr>
        <w:spacing w:before="100" w:beforeAutospacing="1" w:after="240"/>
        <w:rPr>
          <w:rFonts w:ascii="Verdana" w:hAnsi="Verdana" w:cs="Arial"/>
          <w:sz w:val="20"/>
          <w:szCs w:val="20"/>
        </w:rPr>
      </w:pPr>
      <w:r w:rsidRPr="004441B6">
        <w:rPr>
          <w:rFonts w:ascii="Verdana" w:hAnsi="Verdana" w:cs="Arial"/>
          <w:sz w:val="20"/>
          <w:szCs w:val="20"/>
        </w:rPr>
        <w:t xml:space="preserve">SRG Recommended adjustments of the budget in modules. </w:t>
      </w:r>
    </w:p>
    <w:p w:rsidR="00C712F8" w:rsidRPr="004441B6" w:rsidRDefault="00C712F8" w:rsidP="00C712F8">
      <w:pPr>
        <w:numPr>
          <w:ilvl w:val="0"/>
          <w:numId w:val="1"/>
        </w:numPr>
        <w:spacing w:before="100" w:beforeAutospacing="1" w:after="240"/>
        <w:rPr>
          <w:rFonts w:ascii="Verdana" w:hAnsi="Verdana" w:cs="Arial"/>
          <w:sz w:val="20"/>
          <w:szCs w:val="20"/>
        </w:rPr>
      </w:pPr>
      <w:r w:rsidRPr="004441B6">
        <w:rPr>
          <w:rFonts w:ascii="Verdana" w:hAnsi="Verdana" w:cs="Arial"/>
          <w:sz w:val="20"/>
          <w:szCs w:val="20"/>
        </w:rPr>
        <w:t xml:space="preserve">Request Other Support information "just-in-time" to determine overlap for likely award candidates. </w:t>
      </w:r>
    </w:p>
    <w:p w:rsidR="00C712F8" w:rsidRPr="004441B6" w:rsidRDefault="00C712F8" w:rsidP="00C712F8">
      <w:pPr>
        <w:numPr>
          <w:ilvl w:val="0"/>
          <w:numId w:val="1"/>
        </w:numPr>
        <w:spacing w:before="100" w:beforeAutospacing="1" w:after="240"/>
        <w:rPr>
          <w:rFonts w:ascii="Verdana" w:hAnsi="Verdana" w:cs="Arial"/>
          <w:sz w:val="20"/>
          <w:szCs w:val="20"/>
        </w:rPr>
      </w:pPr>
      <w:r w:rsidRPr="004441B6">
        <w:rPr>
          <w:rFonts w:ascii="Verdana" w:hAnsi="Verdana" w:cs="Arial"/>
          <w:sz w:val="20"/>
          <w:szCs w:val="20"/>
        </w:rPr>
        <w:t xml:space="preserve">Request (prior to award) additional budget justification "just-in-time" only in exceptional circumstances. </w:t>
      </w:r>
    </w:p>
    <w:p w:rsidR="00C712F8" w:rsidRPr="004441B6" w:rsidRDefault="00C712F8" w:rsidP="00C712F8">
      <w:pPr>
        <w:numPr>
          <w:ilvl w:val="0"/>
          <w:numId w:val="1"/>
        </w:numPr>
        <w:spacing w:before="100" w:beforeAutospacing="1" w:after="240"/>
        <w:rPr>
          <w:rFonts w:ascii="Verdana" w:hAnsi="Verdana" w:cs="Arial"/>
          <w:sz w:val="20"/>
          <w:szCs w:val="20"/>
        </w:rPr>
      </w:pPr>
      <w:r w:rsidRPr="004441B6">
        <w:rPr>
          <w:rFonts w:ascii="Verdana" w:hAnsi="Verdana" w:cs="Arial"/>
          <w:sz w:val="20"/>
          <w:szCs w:val="20"/>
        </w:rPr>
        <w:t xml:space="preserve">Award at SRG recommended or </w:t>
      </w:r>
      <w:proofErr w:type="gramStart"/>
      <w:r w:rsidRPr="004441B6">
        <w:rPr>
          <w:rFonts w:ascii="Verdana" w:hAnsi="Verdana" w:cs="Arial"/>
          <w:sz w:val="20"/>
          <w:szCs w:val="20"/>
        </w:rPr>
        <w:t>Institute's</w:t>
      </w:r>
      <w:proofErr w:type="gramEnd"/>
      <w:r w:rsidRPr="004441B6">
        <w:rPr>
          <w:rFonts w:ascii="Verdana" w:hAnsi="Verdana" w:cs="Arial"/>
          <w:sz w:val="20"/>
          <w:szCs w:val="20"/>
        </w:rPr>
        <w:t xml:space="preserve"> cost management plan level, taking other support into account. </w:t>
      </w:r>
    </w:p>
    <w:p w:rsidR="00C712F8" w:rsidRPr="004441B6" w:rsidRDefault="00C712F8" w:rsidP="00C712F8">
      <w:pPr>
        <w:numPr>
          <w:ilvl w:val="0"/>
          <w:numId w:val="1"/>
        </w:numPr>
        <w:spacing w:before="100" w:beforeAutospacing="1" w:after="240"/>
        <w:rPr>
          <w:rFonts w:ascii="Verdana" w:hAnsi="Verdana" w:cs="Arial"/>
          <w:sz w:val="20"/>
          <w:szCs w:val="20"/>
        </w:rPr>
      </w:pPr>
      <w:r w:rsidRPr="004441B6">
        <w:rPr>
          <w:rFonts w:ascii="Verdana" w:hAnsi="Verdana" w:cs="Arial"/>
          <w:sz w:val="20"/>
          <w:szCs w:val="20"/>
        </w:rPr>
        <w:t xml:space="preserve">Make non-categorical, total direct cost awards. </w:t>
      </w:r>
    </w:p>
    <w:p w:rsidR="00C712F8" w:rsidRPr="004441B6" w:rsidRDefault="00C712F8" w:rsidP="00C712F8">
      <w:pPr>
        <w:numPr>
          <w:ilvl w:val="0"/>
          <w:numId w:val="1"/>
        </w:numPr>
        <w:spacing w:before="100" w:beforeAutospacing="1" w:after="240"/>
        <w:rPr>
          <w:rFonts w:ascii="Verdana" w:hAnsi="Verdana" w:cs="Arial"/>
          <w:sz w:val="20"/>
          <w:szCs w:val="20"/>
        </w:rPr>
      </w:pPr>
      <w:r w:rsidRPr="004441B6">
        <w:rPr>
          <w:rFonts w:ascii="Verdana" w:hAnsi="Verdana" w:cs="Arial"/>
          <w:sz w:val="20"/>
          <w:szCs w:val="20"/>
        </w:rPr>
        <w:t xml:space="preserve">Eliminate the 25% rebudgeting requirement. </w:t>
      </w:r>
    </w:p>
    <w:p w:rsidR="00C712F8" w:rsidRPr="004441B6" w:rsidRDefault="00C712F8" w:rsidP="00C712F8">
      <w:pPr>
        <w:numPr>
          <w:ilvl w:val="0"/>
          <w:numId w:val="1"/>
        </w:numPr>
        <w:spacing w:before="100" w:beforeAutospacing="1" w:after="240"/>
        <w:rPr>
          <w:rFonts w:ascii="Verdana" w:hAnsi="Verdana" w:cs="Arial"/>
          <w:sz w:val="20"/>
          <w:szCs w:val="20"/>
        </w:rPr>
      </w:pPr>
      <w:r w:rsidRPr="004441B6">
        <w:rPr>
          <w:rFonts w:ascii="Verdana" w:hAnsi="Verdana" w:cs="Arial"/>
          <w:sz w:val="20"/>
          <w:szCs w:val="20"/>
        </w:rPr>
        <w:t>Permit all types of administrative supplemental awards.</w:t>
      </w:r>
    </w:p>
    <w:p w:rsidR="00C712F8" w:rsidRPr="004441B6" w:rsidRDefault="00C712F8" w:rsidP="00C712F8">
      <w:pPr>
        <w:numPr>
          <w:ilvl w:val="0"/>
          <w:numId w:val="1"/>
        </w:numPr>
        <w:spacing w:before="100" w:beforeAutospacing="1" w:after="100" w:afterAutospacing="1"/>
        <w:rPr>
          <w:rFonts w:ascii="Verdana" w:hAnsi="Verdana" w:cs="Arial"/>
          <w:sz w:val="20"/>
          <w:szCs w:val="20"/>
        </w:rPr>
      </w:pPr>
      <w:r w:rsidRPr="004441B6">
        <w:rPr>
          <w:rFonts w:ascii="Verdana" w:hAnsi="Verdana" w:cs="Arial"/>
          <w:sz w:val="20"/>
          <w:szCs w:val="20"/>
        </w:rPr>
        <w:t xml:space="preserve">Checklist to </w:t>
      </w:r>
      <w:proofErr w:type="gramStart"/>
      <w:r w:rsidRPr="004441B6">
        <w:rPr>
          <w:rFonts w:ascii="Verdana" w:hAnsi="Verdana" w:cs="Arial"/>
          <w:sz w:val="20"/>
          <w:szCs w:val="20"/>
        </w:rPr>
        <w:t>be submitted</w:t>
      </w:r>
      <w:proofErr w:type="gramEnd"/>
      <w:r w:rsidRPr="004441B6">
        <w:rPr>
          <w:rFonts w:ascii="Verdana" w:hAnsi="Verdana" w:cs="Arial"/>
          <w:sz w:val="20"/>
          <w:szCs w:val="20"/>
        </w:rPr>
        <w:t xml:space="preserve"> with the application.</w:t>
      </w:r>
    </w:p>
    <w:p w:rsidR="00461E54" w:rsidRPr="00461E54" w:rsidRDefault="00416685" w:rsidP="00461E54">
      <w:pPr>
        <w:pStyle w:val="Heading3"/>
        <w:rPr>
          <w:rFonts w:ascii="Verdana" w:hAnsi="Verdana"/>
          <w:sz w:val="20"/>
          <w:szCs w:val="20"/>
        </w:rPr>
      </w:pPr>
      <w:r w:rsidRPr="004441B6">
        <w:rPr>
          <w:rFonts w:ascii="Verdana" w:hAnsi="Verdana"/>
          <w:sz w:val="20"/>
          <w:szCs w:val="20"/>
        </w:rPr>
        <w:br w:type="page"/>
      </w:r>
      <w:r w:rsidR="00461E54" w:rsidRPr="00461E54">
        <w:rPr>
          <w:rFonts w:ascii="Verdana" w:hAnsi="Verdana"/>
          <w:sz w:val="20"/>
          <w:szCs w:val="20"/>
        </w:rPr>
        <w:lastRenderedPageBreak/>
        <w:t>GENERAL ISSUES</w:t>
      </w:r>
    </w:p>
    <w:p w:rsidR="00461E54" w:rsidRDefault="00461E54" w:rsidP="00461E54">
      <w:pPr>
        <w:rPr>
          <w:rFonts w:ascii="Arial" w:hAnsi="Arial" w:cs="Arial"/>
          <w:sz w:val="19"/>
          <w:szCs w:val="19"/>
        </w:rPr>
      </w:pPr>
      <w:r w:rsidRPr="00461E54">
        <w:rPr>
          <w:rFonts w:ascii="Verdana" w:hAnsi="Verdana" w:cs="Arial"/>
          <w:sz w:val="20"/>
          <w:szCs w:val="20"/>
        </w:rPr>
        <w:pict>
          <v:rect id="_x0000_i1025" style="width:0;height:1.5pt" o:hralign="center" o:hrstd="t" o:hr="t" fillcolor="#aca899" stroked="f"/>
        </w:pict>
      </w:r>
    </w:p>
    <w:p w:rsidR="00416685" w:rsidRPr="004441B6" w:rsidRDefault="004441B6" w:rsidP="004441B6">
      <w:pPr>
        <w:tabs>
          <w:tab w:val="left" w:pos="540"/>
        </w:tabs>
        <w:ind w:left="540" w:right="-360" w:hanging="540"/>
        <w:rPr>
          <w:rFonts w:ascii="Verdana" w:hAnsi="Verdana" w:cs="Arial"/>
          <w:b/>
          <w:sz w:val="20"/>
          <w:szCs w:val="20"/>
        </w:rPr>
      </w:pPr>
      <w:r w:rsidRPr="004441B6">
        <w:rPr>
          <w:rFonts w:ascii="Verdana" w:hAnsi="Verdana"/>
          <w:b/>
          <w:i/>
          <w:sz w:val="20"/>
          <w:szCs w:val="20"/>
        </w:rPr>
        <w:t>1</w:t>
      </w:r>
      <w:r>
        <w:rPr>
          <w:rFonts w:ascii="Verdana" w:hAnsi="Verdana"/>
          <w:b/>
          <w:i/>
          <w:sz w:val="20"/>
          <w:szCs w:val="20"/>
        </w:rPr>
        <w:t>.</w:t>
      </w:r>
      <w:r>
        <w:rPr>
          <w:rFonts w:ascii="Verdana" w:hAnsi="Verdana"/>
          <w:b/>
          <w:i/>
          <w:sz w:val="20"/>
          <w:szCs w:val="20"/>
        </w:rPr>
        <w:tab/>
      </w:r>
      <w:r w:rsidR="00416685" w:rsidRPr="004441B6">
        <w:rPr>
          <w:rFonts w:ascii="Verdana" w:hAnsi="Verdana"/>
          <w:b/>
          <w:i/>
          <w:sz w:val="20"/>
          <w:szCs w:val="20"/>
        </w:rPr>
        <w:t>What is the Modular Grant Application Concept?</w:t>
      </w:r>
    </w:p>
    <w:p w:rsidR="00416685" w:rsidRPr="004441B6" w:rsidRDefault="00416685" w:rsidP="004441B6">
      <w:pPr>
        <w:pStyle w:val="NormalWeb"/>
        <w:ind w:left="540"/>
        <w:rPr>
          <w:rFonts w:ascii="Verdana" w:hAnsi="Verdana"/>
          <w:sz w:val="20"/>
          <w:szCs w:val="20"/>
        </w:rPr>
      </w:pPr>
      <w:r w:rsidRPr="004441B6">
        <w:rPr>
          <w:rFonts w:ascii="Verdana" w:hAnsi="Verdana"/>
          <w:sz w:val="20"/>
          <w:szCs w:val="20"/>
        </w:rPr>
        <w:t xml:space="preserve">The Modular Grant concept establishes specific modules or increments in which direct costs </w:t>
      </w:r>
      <w:proofErr w:type="gramStart"/>
      <w:r w:rsidRPr="004441B6">
        <w:rPr>
          <w:rFonts w:ascii="Verdana" w:hAnsi="Verdana"/>
          <w:sz w:val="20"/>
          <w:szCs w:val="20"/>
        </w:rPr>
        <w:t>must be requested</w:t>
      </w:r>
      <w:proofErr w:type="gramEnd"/>
      <w:r w:rsidRPr="004441B6">
        <w:rPr>
          <w:rFonts w:ascii="Verdana" w:hAnsi="Verdana"/>
          <w:sz w:val="20"/>
          <w:szCs w:val="20"/>
        </w:rPr>
        <w:t xml:space="preserve"> as well as a maximum level for requested budgets under the Modular Grant model. Categorical dollar information </w:t>
      </w:r>
      <w:proofErr w:type="gramStart"/>
      <w:r w:rsidRPr="004441B6">
        <w:rPr>
          <w:rFonts w:ascii="Verdana" w:hAnsi="Verdana"/>
          <w:sz w:val="20"/>
          <w:szCs w:val="20"/>
        </w:rPr>
        <w:t>should not be provided</w:t>
      </w:r>
      <w:proofErr w:type="gramEnd"/>
      <w:r w:rsidRPr="004441B6">
        <w:rPr>
          <w:rFonts w:ascii="Verdana" w:hAnsi="Verdana"/>
          <w:sz w:val="20"/>
          <w:szCs w:val="20"/>
        </w:rPr>
        <w:t xml:space="preserve"> in the application; however, the responsibilities for the Principal Investigator and all key personnel must be specifically described.</w:t>
      </w:r>
    </w:p>
    <w:p w:rsidR="00416685" w:rsidRPr="004441B6" w:rsidRDefault="00416685" w:rsidP="004441B6">
      <w:pPr>
        <w:pStyle w:val="NormalWeb"/>
        <w:numPr>
          <w:ilvl w:val="0"/>
          <w:numId w:val="3"/>
        </w:numPr>
        <w:tabs>
          <w:tab w:val="clear" w:pos="720"/>
          <w:tab w:val="num" w:pos="540"/>
        </w:tabs>
        <w:ind w:left="540" w:right="-360" w:hanging="540"/>
        <w:rPr>
          <w:rFonts w:ascii="Verdana" w:hAnsi="Verdana"/>
          <w:b/>
          <w:bCs/>
          <w:i/>
          <w:iCs/>
          <w:sz w:val="20"/>
          <w:szCs w:val="20"/>
        </w:rPr>
      </w:pPr>
      <w:bookmarkStart w:id="1" w:name="q2a"/>
      <w:bookmarkEnd w:id="1"/>
      <w:r w:rsidRPr="004441B6">
        <w:rPr>
          <w:rFonts w:ascii="Verdana" w:hAnsi="Verdana"/>
          <w:b/>
          <w:bCs/>
          <w:i/>
          <w:iCs/>
          <w:sz w:val="20"/>
          <w:szCs w:val="20"/>
        </w:rPr>
        <w:t xml:space="preserve">If an RFA has a receipt date after </w:t>
      </w:r>
      <w:smartTag w:uri="urn:schemas-microsoft-com:office:smarttags" w:element="date">
        <w:smartTagPr>
          <w:attr w:name="Year" w:val="1999"/>
          <w:attr w:name="Day" w:val="1"/>
          <w:attr w:name="Month" w:val="6"/>
        </w:smartTagPr>
        <w:r w:rsidRPr="004441B6">
          <w:rPr>
            <w:rFonts w:ascii="Verdana" w:hAnsi="Verdana"/>
            <w:b/>
            <w:bCs/>
            <w:i/>
            <w:iCs/>
            <w:sz w:val="20"/>
            <w:szCs w:val="20"/>
          </w:rPr>
          <w:t xml:space="preserve">June 1, </w:t>
        </w:r>
        <w:proofErr w:type="gramStart"/>
        <w:r w:rsidRPr="004441B6">
          <w:rPr>
            <w:rFonts w:ascii="Verdana" w:hAnsi="Verdana"/>
            <w:b/>
            <w:bCs/>
            <w:i/>
            <w:iCs/>
            <w:sz w:val="20"/>
            <w:szCs w:val="20"/>
          </w:rPr>
          <w:t>1999</w:t>
        </w:r>
      </w:smartTag>
      <w:proofErr w:type="gramEnd"/>
      <w:r w:rsidRPr="004441B6">
        <w:rPr>
          <w:rFonts w:ascii="Verdana" w:hAnsi="Verdana"/>
          <w:b/>
          <w:bCs/>
          <w:i/>
          <w:iCs/>
          <w:sz w:val="20"/>
          <w:szCs w:val="20"/>
        </w:rPr>
        <w:t xml:space="preserve"> must the applications be submitted in the Modular Grant format even though the RFA did not originally include the use of Modular Grants?</w:t>
      </w:r>
    </w:p>
    <w:p w:rsidR="00416685" w:rsidRPr="004441B6" w:rsidRDefault="00416685" w:rsidP="004441B6">
      <w:pPr>
        <w:pStyle w:val="NormalWeb"/>
        <w:ind w:left="540"/>
        <w:rPr>
          <w:rFonts w:ascii="Verdana" w:hAnsi="Verdana"/>
          <w:sz w:val="20"/>
          <w:szCs w:val="20"/>
        </w:rPr>
      </w:pPr>
      <w:r w:rsidRPr="004441B6">
        <w:rPr>
          <w:rFonts w:ascii="Verdana" w:hAnsi="Verdana"/>
          <w:sz w:val="20"/>
          <w:szCs w:val="20"/>
        </w:rPr>
        <w:t xml:space="preserve">No. Applications </w:t>
      </w:r>
      <w:proofErr w:type="gramStart"/>
      <w:r w:rsidRPr="004441B6">
        <w:rPr>
          <w:rFonts w:ascii="Verdana" w:hAnsi="Verdana"/>
          <w:sz w:val="20"/>
          <w:szCs w:val="20"/>
        </w:rPr>
        <w:t>should be submitted</w:t>
      </w:r>
      <w:proofErr w:type="gramEnd"/>
      <w:r w:rsidRPr="004441B6">
        <w:rPr>
          <w:rFonts w:ascii="Verdana" w:hAnsi="Verdana"/>
          <w:sz w:val="20"/>
          <w:szCs w:val="20"/>
        </w:rPr>
        <w:t xml:space="preserve"> according to the instructions specified in the RFA.</w:t>
      </w:r>
    </w:p>
    <w:p w:rsidR="00416685" w:rsidRPr="004441B6" w:rsidRDefault="00416685" w:rsidP="004441B6">
      <w:pPr>
        <w:pStyle w:val="NormalWeb"/>
        <w:numPr>
          <w:ilvl w:val="0"/>
          <w:numId w:val="4"/>
        </w:numPr>
        <w:tabs>
          <w:tab w:val="clear" w:pos="720"/>
          <w:tab w:val="num" w:pos="540"/>
        </w:tabs>
        <w:ind w:left="540" w:right="-360" w:hanging="540"/>
        <w:rPr>
          <w:rFonts w:ascii="Verdana" w:hAnsi="Verdana"/>
          <w:b/>
          <w:bCs/>
          <w:i/>
          <w:iCs/>
          <w:sz w:val="20"/>
          <w:szCs w:val="20"/>
        </w:rPr>
      </w:pPr>
      <w:bookmarkStart w:id="2" w:name="q3a"/>
      <w:bookmarkEnd w:id="2"/>
      <w:r w:rsidRPr="004441B6">
        <w:rPr>
          <w:rFonts w:ascii="Verdana" w:hAnsi="Verdana"/>
          <w:b/>
          <w:bCs/>
          <w:i/>
          <w:iCs/>
          <w:sz w:val="20"/>
          <w:szCs w:val="20"/>
        </w:rPr>
        <w:t>Will Modular Grant Application procedures apply to administrative supplement programs such as the under represented minority, disability and reentry applications?</w:t>
      </w:r>
    </w:p>
    <w:p w:rsidR="00416685" w:rsidRPr="004441B6" w:rsidRDefault="00416685" w:rsidP="00461E54">
      <w:pPr>
        <w:pStyle w:val="NormalWeb"/>
        <w:ind w:left="540"/>
        <w:rPr>
          <w:rFonts w:ascii="Verdana" w:hAnsi="Verdana"/>
          <w:sz w:val="20"/>
          <w:szCs w:val="20"/>
        </w:rPr>
      </w:pPr>
      <w:r w:rsidRPr="004441B6">
        <w:rPr>
          <w:rFonts w:ascii="Verdana" w:hAnsi="Verdana"/>
          <w:sz w:val="20"/>
          <w:szCs w:val="20"/>
        </w:rPr>
        <w:t xml:space="preserve">No. These administrative supplementals </w:t>
      </w:r>
      <w:proofErr w:type="gramStart"/>
      <w:r w:rsidRPr="004441B6">
        <w:rPr>
          <w:rFonts w:ascii="Verdana" w:hAnsi="Verdana"/>
          <w:sz w:val="20"/>
          <w:szCs w:val="20"/>
        </w:rPr>
        <w:t>should be submitted</w:t>
      </w:r>
      <w:proofErr w:type="gramEnd"/>
      <w:r w:rsidRPr="004441B6">
        <w:rPr>
          <w:rFonts w:ascii="Verdana" w:hAnsi="Verdana"/>
          <w:sz w:val="20"/>
          <w:szCs w:val="20"/>
        </w:rPr>
        <w:t xml:space="preserve"> in the usual format.</w:t>
      </w:r>
    </w:p>
    <w:p w:rsidR="00416685" w:rsidRPr="004441B6" w:rsidRDefault="00416685" w:rsidP="00461E54">
      <w:pPr>
        <w:pStyle w:val="NormalWeb"/>
        <w:numPr>
          <w:ilvl w:val="0"/>
          <w:numId w:val="5"/>
        </w:numPr>
        <w:tabs>
          <w:tab w:val="clear" w:pos="720"/>
          <w:tab w:val="num" w:pos="540"/>
        </w:tabs>
        <w:ind w:left="540" w:right="-360" w:hanging="540"/>
        <w:rPr>
          <w:rFonts w:ascii="Verdana" w:hAnsi="Verdana"/>
          <w:b/>
          <w:bCs/>
          <w:i/>
          <w:iCs/>
          <w:sz w:val="20"/>
          <w:szCs w:val="20"/>
        </w:rPr>
      </w:pPr>
      <w:bookmarkStart w:id="3" w:name="q4a"/>
      <w:bookmarkEnd w:id="3"/>
      <w:proofErr w:type="gramStart"/>
      <w:r w:rsidRPr="004441B6">
        <w:rPr>
          <w:rFonts w:ascii="Verdana" w:hAnsi="Verdana"/>
          <w:b/>
          <w:bCs/>
          <w:i/>
          <w:iCs/>
          <w:sz w:val="20"/>
          <w:szCs w:val="20"/>
        </w:rPr>
        <w:t>Must competitive supplement applications be submitted</w:t>
      </w:r>
      <w:proofErr w:type="gramEnd"/>
      <w:r w:rsidRPr="004441B6">
        <w:rPr>
          <w:rFonts w:ascii="Verdana" w:hAnsi="Verdana"/>
          <w:b/>
          <w:bCs/>
          <w:i/>
          <w:iCs/>
          <w:sz w:val="20"/>
          <w:szCs w:val="20"/>
        </w:rPr>
        <w:t xml:space="preserve"> in modules?</w:t>
      </w:r>
    </w:p>
    <w:p w:rsidR="00416685" w:rsidRPr="004441B6" w:rsidRDefault="00416685" w:rsidP="00461E54">
      <w:pPr>
        <w:pStyle w:val="NormalWeb"/>
        <w:ind w:left="540" w:right="-360"/>
        <w:rPr>
          <w:rFonts w:ascii="Verdana" w:hAnsi="Verdana"/>
          <w:sz w:val="20"/>
          <w:szCs w:val="20"/>
        </w:rPr>
      </w:pPr>
      <w:r w:rsidRPr="004441B6">
        <w:rPr>
          <w:rFonts w:ascii="Verdana" w:hAnsi="Verdana"/>
          <w:sz w:val="20"/>
          <w:szCs w:val="20"/>
        </w:rPr>
        <w:t>Yes.</w:t>
      </w:r>
    </w:p>
    <w:p w:rsidR="00416685" w:rsidRPr="004441B6" w:rsidRDefault="00416685" w:rsidP="00461E54">
      <w:pPr>
        <w:pStyle w:val="NormalWeb"/>
        <w:numPr>
          <w:ilvl w:val="0"/>
          <w:numId w:val="6"/>
        </w:numPr>
        <w:tabs>
          <w:tab w:val="clear" w:pos="720"/>
          <w:tab w:val="num" w:pos="540"/>
        </w:tabs>
        <w:ind w:left="540" w:right="-360" w:hanging="540"/>
        <w:rPr>
          <w:rFonts w:ascii="Verdana" w:hAnsi="Verdana"/>
          <w:b/>
          <w:bCs/>
          <w:i/>
          <w:iCs/>
          <w:sz w:val="20"/>
          <w:szCs w:val="20"/>
        </w:rPr>
      </w:pPr>
      <w:bookmarkStart w:id="4" w:name="q5a"/>
      <w:bookmarkEnd w:id="4"/>
      <w:r w:rsidRPr="004441B6">
        <w:rPr>
          <w:rFonts w:ascii="Verdana" w:hAnsi="Verdana"/>
          <w:b/>
          <w:bCs/>
          <w:i/>
          <w:iCs/>
          <w:sz w:val="20"/>
          <w:szCs w:val="20"/>
        </w:rPr>
        <w:t>Is the Modular Grant program in addition to the R01 program or does it replace the R01 program?</w:t>
      </w:r>
    </w:p>
    <w:p w:rsidR="00416685" w:rsidRPr="004441B6" w:rsidRDefault="00416685" w:rsidP="00461E54">
      <w:pPr>
        <w:pStyle w:val="NormalWeb"/>
        <w:ind w:left="540"/>
        <w:rPr>
          <w:rFonts w:ascii="Verdana" w:hAnsi="Verdana"/>
          <w:sz w:val="20"/>
          <w:szCs w:val="20"/>
        </w:rPr>
      </w:pPr>
      <w:r w:rsidRPr="004441B6">
        <w:rPr>
          <w:rFonts w:ascii="Verdana" w:hAnsi="Verdana"/>
          <w:sz w:val="20"/>
          <w:szCs w:val="20"/>
        </w:rPr>
        <w:t xml:space="preserve">It replaces the regular R01 application format for requests up to $250,000 direct costs per year. The Modular application and award process is not a new grant program. </w:t>
      </w:r>
      <w:proofErr w:type="gramStart"/>
      <w:r w:rsidRPr="004441B6">
        <w:rPr>
          <w:rFonts w:ascii="Verdana" w:hAnsi="Verdana"/>
          <w:sz w:val="20"/>
          <w:szCs w:val="20"/>
        </w:rPr>
        <w:t>Instead</w:t>
      </w:r>
      <w:proofErr w:type="gramEnd"/>
      <w:r w:rsidRPr="004441B6">
        <w:rPr>
          <w:rFonts w:ascii="Verdana" w:hAnsi="Verdana"/>
          <w:sz w:val="20"/>
          <w:szCs w:val="20"/>
        </w:rPr>
        <w:t xml:space="preserve"> it is a revised application and award process for R01 and other kinds of awards.</w:t>
      </w:r>
    </w:p>
    <w:p w:rsidR="00416685" w:rsidRPr="004441B6" w:rsidRDefault="00416685" w:rsidP="00461E54">
      <w:pPr>
        <w:pStyle w:val="NormalWeb"/>
        <w:numPr>
          <w:ilvl w:val="0"/>
          <w:numId w:val="7"/>
        </w:numPr>
        <w:tabs>
          <w:tab w:val="clear" w:pos="720"/>
          <w:tab w:val="num" w:pos="540"/>
        </w:tabs>
        <w:ind w:left="540" w:right="-360" w:hanging="540"/>
        <w:rPr>
          <w:rFonts w:ascii="Verdana" w:hAnsi="Verdana"/>
          <w:b/>
          <w:bCs/>
          <w:i/>
          <w:iCs/>
          <w:sz w:val="20"/>
          <w:szCs w:val="20"/>
        </w:rPr>
      </w:pPr>
      <w:bookmarkStart w:id="5" w:name="q6a"/>
      <w:bookmarkEnd w:id="5"/>
      <w:r w:rsidRPr="004441B6">
        <w:rPr>
          <w:rFonts w:ascii="Verdana" w:hAnsi="Verdana"/>
          <w:b/>
          <w:bCs/>
          <w:i/>
          <w:iCs/>
          <w:sz w:val="20"/>
          <w:szCs w:val="20"/>
        </w:rPr>
        <w:t xml:space="preserve">Will </w:t>
      </w:r>
      <w:proofErr w:type="gramStart"/>
      <w:r w:rsidRPr="004441B6">
        <w:rPr>
          <w:rFonts w:ascii="Verdana" w:hAnsi="Verdana"/>
          <w:b/>
          <w:bCs/>
          <w:i/>
          <w:iCs/>
          <w:sz w:val="20"/>
          <w:szCs w:val="20"/>
        </w:rPr>
        <w:t>the Modular Grant application process be used by all Institutes and Centers</w:t>
      </w:r>
      <w:proofErr w:type="gramEnd"/>
      <w:r w:rsidRPr="004441B6">
        <w:rPr>
          <w:rFonts w:ascii="Verdana" w:hAnsi="Verdana"/>
          <w:b/>
          <w:bCs/>
          <w:i/>
          <w:iCs/>
          <w:sz w:val="20"/>
          <w:szCs w:val="20"/>
        </w:rPr>
        <w:t>?</w:t>
      </w:r>
    </w:p>
    <w:p w:rsidR="00416685" w:rsidRPr="004441B6" w:rsidRDefault="00416685" w:rsidP="00461E54">
      <w:pPr>
        <w:pStyle w:val="NormalWeb"/>
        <w:ind w:left="540" w:right="-360"/>
        <w:rPr>
          <w:rFonts w:ascii="Verdana" w:hAnsi="Verdana"/>
          <w:sz w:val="20"/>
          <w:szCs w:val="20"/>
        </w:rPr>
      </w:pPr>
      <w:r w:rsidRPr="004441B6">
        <w:rPr>
          <w:rFonts w:ascii="Verdana" w:hAnsi="Verdana"/>
          <w:sz w:val="20"/>
          <w:szCs w:val="20"/>
        </w:rPr>
        <w:t>Yes.</w:t>
      </w:r>
    </w:p>
    <w:p w:rsidR="00416685" w:rsidRPr="004441B6" w:rsidRDefault="00416685" w:rsidP="00461E54">
      <w:pPr>
        <w:pStyle w:val="NormalWeb"/>
        <w:numPr>
          <w:ilvl w:val="0"/>
          <w:numId w:val="8"/>
        </w:numPr>
        <w:tabs>
          <w:tab w:val="clear" w:pos="720"/>
          <w:tab w:val="num" w:pos="540"/>
        </w:tabs>
        <w:ind w:left="540" w:right="-360" w:hanging="540"/>
        <w:rPr>
          <w:rFonts w:ascii="Verdana" w:hAnsi="Verdana"/>
          <w:b/>
          <w:bCs/>
          <w:i/>
          <w:iCs/>
          <w:sz w:val="20"/>
          <w:szCs w:val="20"/>
        </w:rPr>
      </w:pPr>
      <w:bookmarkStart w:id="6" w:name="q7a"/>
      <w:bookmarkEnd w:id="6"/>
      <w:r w:rsidRPr="004441B6">
        <w:rPr>
          <w:rFonts w:ascii="Verdana" w:hAnsi="Verdana"/>
          <w:b/>
          <w:bCs/>
          <w:i/>
          <w:iCs/>
          <w:sz w:val="20"/>
          <w:szCs w:val="20"/>
        </w:rPr>
        <w:t>Will Modular Grant guidelines apply to applications submitted by foreign institutions?</w:t>
      </w:r>
    </w:p>
    <w:p w:rsidR="00416685" w:rsidRPr="004441B6" w:rsidRDefault="00416685" w:rsidP="00461E54">
      <w:pPr>
        <w:pStyle w:val="NormalWeb"/>
        <w:tabs>
          <w:tab w:val="left" w:pos="540"/>
        </w:tabs>
        <w:ind w:left="540" w:right="-360"/>
        <w:rPr>
          <w:rFonts w:ascii="Verdana" w:hAnsi="Verdana"/>
          <w:sz w:val="20"/>
          <w:szCs w:val="20"/>
        </w:rPr>
      </w:pPr>
      <w:r w:rsidRPr="004441B6">
        <w:rPr>
          <w:rFonts w:ascii="Verdana" w:hAnsi="Verdana"/>
          <w:sz w:val="20"/>
          <w:szCs w:val="20"/>
        </w:rPr>
        <w:t>Yes.</w:t>
      </w:r>
    </w:p>
    <w:p w:rsidR="00461E54" w:rsidRDefault="00461E54" w:rsidP="004441B6">
      <w:pPr>
        <w:ind w:right="-360"/>
        <w:rPr>
          <w:rFonts w:ascii="Verdana" w:hAnsi="Verdana" w:cs="Arial"/>
          <w:sz w:val="20"/>
          <w:szCs w:val="20"/>
        </w:rPr>
        <w:sectPr w:rsidR="00461E54" w:rsidSect="002D12B7">
          <w:headerReference w:type="default" r:id="rId7"/>
          <w:footerReference w:type="default" r:id="rId8"/>
          <w:pgSz w:w="12240" w:h="15840"/>
          <w:pgMar w:top="1440" w:right="1440" w:bottom="1440" w:left="1440" w:header="720" w:footer="720" w:gutter="0"/>
          <w:cols w:space="720"/>
          <w:docGrid w:linePitch="360"/>
        </w:sectPr>
      </w:pPr>
    </w:p>
    <w:p w:rsidR="00416685" w:rsidRPr="004441B6" w:rsidRDefault="00416685" w:rsidP="004441B6">
      <w:pPr>
        <w:ind w:right="-360"/>
        <w:rPr>
          <w:rFonts w:ascii="Verdana" w:hAnsi="Verdana" w:cs="Arial"/>
          <w:sz w:val="20"/>
          <w:szCs w:val="20"/>
        </w:rPr>
      </w:pPr>
      <w:r w:rsidRPr="004441B6">
        <w:rPr>
          <w:rFonts w:ascii="Verdana" w:hAnsi="Verdana" w:cs="Arial"/>
          <w:sz w:val="20"/>
          <w:szCs w:val="20"/>
        </w:rPr>
        <w:lastRenderedPageBreak/>
        <w:pict>
          <v:rect id="_x0000_i1026" style="width:0;height:3pt" o:hralign="center" o:hrstd="t" o:hr="t" fillcolor="#aca899" stroked="f"/>
        </w:pict>
      </w:r>
    </w:p>
    <w:p w:rsidR="00416685" w:rsidRPr="004441B6" w:rsidRDefault="00416685" w:rsidP="004441B6">
      <w:pPr>
        <w:pStyle w:val="Heading3"/>
        <w:ind w:right="-360"/>
        <w:rPr>
          <w:rFonts w:ascii="Verdana" w:hAnsi="Verdana"/>
          <w:sz w:val="20"/>
          <w:szCs w:val="20"/>
        </w:rPr>
      </w:pPr>
      <w:bookmarkStart w:id="7" w:name="q1b"/>
      <w:r w:rsidRPr="004441B6">
        <w:rPr>
          <w:rFonts w:ascii="Verdana" w:hAnsi="Verdana"/>
          <w:sz w:val="20"/>
          <w:szCs w:val="20"/>
        </w:rPr>
        <w:t>APPLICATION INSTRUCTIONS</w:t>
      </w:r>
    </w:p>
    <w:bookmarkEnd w:id="7"/>
    <w:p w:rsidR="00416685" w:rsidRPr="004441B6" w:rsidRDefault="00416685" w:rsidP="004441B6">
      <w:pPr>
        <w:ind w:right="-360"/>
        <w:rPr>
          <w:rFonts w:ascii="Verdana" w:hAnsi="Verdana" w:cs="Arial"/>
          <w:sz w:val="20"/>
          <w:szCs w:val="20"/>
        </w:rPr>
      </w:pPr>
      <w:r w:rsidRPr="004441B6">
        <w:rPr>
          <w:rFonts w:ascii="Verdana" w:hAnsi="Verdana" w:cs="Arial"/>
          <w:sz w:val="20"/>
          <w:szCs w:val="20"/>
        </w:rPr>
        <w:pict>
          <v:rect id="_x0000_i1027" style="width:0;height:1.5pt" o:hralign="center" o:hrstd="t" o:hr="t" fillcolor="#aca899" stroked="f"/>
        </w:pict>
      </w:r>
    </w:p>
    <w:p w:rsidR="00416685" w:rsidRPr="004441B6" w:rsidRDefault="00416685" w:rsidP="00461E54">
      <w:pPr>
        <w:pStyle w:val="NormalWeb"/>
        <w:numPr>
          <w:ilvl w:val="0"/>
          <w:numId w:val="9"/>
        </w:numPr>
        <w:tabs>
          <w:tab w:val="clear" w:pos="360"/>
          <w:tab w:val="num" w:pos="540"/>
        </w:tabs>
        <w:ind w:left="540" w:right="-360" w:hanging="540"/>
        <w:rPr>
          <w:rFonts w:ascii="Verdana" w:hAnsi="Verdana"/>
          <w:b/>
          <w:bCs/>
          <w:i/>
          <w:iCs/>
          <w:sz w:val="20"/>
          <w:szCs w:val="20"/>
        </w:rPr>
      </w:pPr>
      <w:r w:rsidRPr="004441B6">
        <w:rPr>
          <w:rFonts w:ascii="Verdana" w:hAnsi="Verdana"/>
          <w:b/>
          <w:bCs/>
          <w:i/>
          <w:iCs/>
          <w:sz w:val="20"/>
          <w:szCs w:val="20"/>
        </w:rPr>
        <w:t xml:space="preserve">Which application form </w:t>
      </w:r>
      <w:proofErr w:type="gramStart"/>
      <w:r w:rsidRPr="004441B6">
        <w:rPr>
          <w:rFonts w:ascii="Verdana" w:hAnsi="Verdana"/>
          <w:b/>
          <w:bCs/>
          <w:i/>
          <w:iCs/>
          <w:sz w:val="20"/>
          <w:szCs w:val="20"/>
        </w:rPr>
        <w:t>should be used</w:t>
      </w:r>
      <w:proofErr w:type="gramEnd"/>
      <w:r w:rsidRPr="004441B6">
        <w:rPr>
          <w:rFonts w:ascii="Verdana" w:hAnsi="Verdana"/>
          <w:b/>
          <w:bCs/>
          <w:i/>
          <w:iCs/>
          <w:sz w:val="20"/>
          <w:szCs w:val="20"/>
        </w:rPr>
        <w:t>?</w:t>
      </w:r>
    </w:p>
    <w:p w:rsidR="00416685" w:rsidRPr="004441B6" w:rsidRDefault="00416685" w:rsidP="00461E54">
      <w:pPr>
        <w:pStyle w:val="NormalWeb"/>
        <w:ind w:left="540"/>
        <w:rPr>
          <w:rFonts w:ascii="Verdana" w:hAnsi="Verdana"/>
          <w:sz w:val="20"/>
          <w:szCs w:val="20"/>
        </w:rPr>
      </w:pPr>
      <w:r w:rsidRPr="004441B6">
        <w:rPr>
          <w:rFonts w:ascii="Verdana" w:hAnsi="Verdana"/>
          <w:sz w:val="20"/>
          <w:szCs w:val="20"/>
        </w:rPr>
        <w:t xml:space="preserve">The research grant application form PHS 398 (rev. 5/2001) at </w:t>
      </w:r>
      <w:hyperlink r:id="rId9" w:history="1">
        <w:r w:rsidRPr="004441B6">
          <w:rPr>
            <w:rStyle w:val="Hyperlink"/>
            <w:rFonts w:ascii="Verdana" w:hAnsi="Verdana"/>
            <w:sz w:val="20"/>
            <w:szCs w:val="20"/>
          </w:rPr>
          <w:t>http://grants.nih.gov/grants/funding/phs398/phs398.html</w:t>
        </w:r>
      </w:hyperlink>
      <w:r w:rsidRPr="004441B6">
        <w:rPr>
          <w:rFonts w:ascii="Verdana" w:hAnsi="Verdana"/>
          <w:sz w:val="20"/>
          <w:szCs w:val="20"/>
        </w:rPr>
        <w:t xml:space="preserve"> is to </w:t>
      </w:r>
      <w:proofErr w:type="gramStart"/>
      <w:r w:rsidRPr="004441B6">
        <w:rPr>
          <w:rFonts w:ascii="Verdana" w:hAnsi="Verdana"/>
          <w:sz w:val="20"/>
          <w:szCs w:val="20"/>
        </w:rPr>
        <w:t>be used</w:t>
      </w:r>
      <w:proofErr w:type="gramEnd"/>
      <w:r w:rsidRPr="004441B6">
        <w:rPr>
          <w:rFonts w:ascii="Verdana" w:hAnsi="Verdana"/>
          <w:sz w:val="20"/>
          <w:szCs w:val="20"/>
        </w:rPr>
        <w:t xml:space="preserve"> in applying for these grants, with modular budget instructions beginning on page 13 of the application instructions. Applicants are permitted, however, to use the 4/1998 revision of the PHS 398 for scheduled application receipt dates until </w:t>
      </w:r>
      <w:smartTag w:uri="urn:schemas-microsoft-com:office:smarttags" w:element="date">
        <w:smartTagPr>
          <w:attr w:name="Year" w:val="2002"/>
          <w:attr w:name="Day" w:val="9"/>
          <w:attr w:name="Month" w:val="1"/>
        </w:smartTagPr>
        <w:r w:rsidRPr="004441B6">
          <w:rPr>
            <w:rFonts w:ascii="Verdana" w:hAnsi="Verdana"/>
            <w:sz w:val="20"/>
            <w:szCs w:val="20"/>
          </w:rPr>
          <w:t>January 9, 2002</w:t>
        </w:r>
      </w:smartTag>
      <w:r w:rsidRPr="004441B6">
        <w:rPr>
          <w:rFonts w:ascii="Verdana" w:hAnsi="Verdana"/>
          <w:sz w:val="20"/>
          <w:szCs w:val="20"/>
        </w:rPr>
        <w:t xml:space="preserve">. If you are preparing an application using the 4/1998 version, please refer to the </w:t>
      </w:r>
      <w:proofErr w:type="gramStart"/>
      <w:r w:rsidRPr="004441B6">
        <w:rPr>
          <w:rFonts w:ascii="Verdana" w:hAnsi="Verdana"/>
          <w:sz w:val="20"/>
          <w:szCs w:val="20"/>
        </w:rPr>
        <w:t>step-by-step</w:t>
      </w:r>
      <w:proofErr w:type="gramEnd"/>
      <w:r w:rsidRPr="004441B6">
        <w:rPr>
          <w:rFonts w:ascii="Verdana" w:hAnsi="Verdana"/>
          <w:sz w:val="20"/>
          <w:szCs w:val="20"/>
        </w:rPr>
        <w:t xml:space="preserve"> instructions for Modular Grants available at </w:t>
      </w:r>
      <w:hyperlink r:id="rId10" w:history="1">
        <w:r w:rsidRPr="004441B6">
          <w:rPr>
            <w:rStyle w:val="Hyperlink"/>
            <w:rFonts w:ascii="Verdana" w:hAnsi="Verdana"/>
            <w:sz w:val="20"/>
            <w:szCs w:val="20"/>
          </w:rPr>
          <w:t>http://grants.nih.gov/grants/funding/modular/modular.htm</w:t>
        </w:r>
      </w:hyperlink>
      <w:r w:rsidRPr="004441B6">
        <w:rPr>
          <w:rFonts w:ascii="Verdana" w:hAnsi="Verdana"/>
          <w:sz w:val="20"/>
          <w:szCs w:val="20"/>
        </w:rPr>
        <w:t xml:space="preserve">. </w:t>
      </w:r>
    </w:p>
    <w:p w:rsidR="00416685" w:rsidRPr="004441B6" w:rsidRDefault="00416685" w:rsidP="00461E54">
      <w:pPr>
        <w:pStyle w:val="NormalWeb"/>
        <w:numPr>
          <w:ilvl w:val="0"/>
          <w:numId w:val="10"/>
        </w:numPr>
        <w:tabs>
          <w:tab w:val="clear" w:pos="720"/>
          <w:tab w:val="num" w:pos="540"/>
        </w:tabs>
        <w:ind w:left="540" w:right="-360" w:hanging="540"/>
        <w:rPr>
          <w:rFonts w:ascii="Verdana" w:hAnsi="Verdana"/>
          <w:b/>
          <w:bCs/>
          <w:i/>
          <w:iCs/>
          <w:sz w:val="20"/>
          <w:szCs w:val="20"/>
        </w:rPr>
      </w:pPr>
      <w:bookmarkStart w:id="8" w:name="q2b"/>
      <w:bookmarkEnd w:id="8"/>
      <w:r w:rsidRPr="004441B6">
        <w:rPr>
          <w:rFonts w:ascii="Verdana" w:hAnsi="Verdana"/>
          <w:b/>
          <w:bCs/>
          <w:i/>
          <w:iCs/>
          <w:sz w:val="20"/>
          <w:szCs w:val="20"/>
        </w:rPr>
        <w:t xml:space="preserve">If an application is submitted in the traditional budget format, will it be returned or will you request or require revised budget narrative pages </w:t>
      </w:r>
      <w:proofErr w:type="gramStart"/>
      <w:r w:rsidRPr="004441B6">
        <w:rPr>
          <w:rFonts w:ascii="Verdana" w:hAnsi="Verdana"/>
          <w:b/>
          <w:bCs/>
          <w:i/>
          <w:iCs/>
          <w:sz w:val="20"/>
          <w:szCs w:val="20"/>
        </w:rPr>
        <w:t>at a later date</w:t>
      </w:r>
      <w:proofErr w:type="gramEnd"/>
      <w:r w:rsidRPr="004441B6">
        <w:rPr>
          <w:rFonts w:ascii="Verdana" w:hAnsi="Verdana"/>
          <w:b/>
          <w:bCs/>
          <w:i/>
          <w:iCs/>
          <w:sz w:val="20"/>
          <w:szCs w:val="20"/>
        </w:rPr>
        <w:t>?</w:t>
      </w:r>
    </w:p>
    <w:p w:rsidR="00416685" w:rsidRPr="004441B6" w:rsidRDefault="00416685" w:rsidP="00461E54">
      <w:pPr>
        <w:pStyle w:val="NormalWeb"/>
        <w:ind w:left="360"/>
        <w:rPr>
          <w:rFonts w:ascii="Verdana" w:hAnsi="Verdana"/>
          <w:sz w:val="20"/>
          <w:szCs w:val="20"/>
        </w:rPr>
      </w:pPr>
      <w:r w:rsidRPr="004441B6">
        <w:rPr>
          <w:rFonts w:ascii="Verdana" w:hAnsi="Verdana"/>
          <w:sz w:val="20"/>
          <w:szCs w:val="20"/>
        </w:rPr>
        <w:t xml:space="preserve">Effective for the receipt dates beginning </w:t>
      </w:r>
      <w:smartTag w:uri="urn:schemas-microsoft-com:office:smarttags" w:element="date">
        <w:smartTagPr>
          <w:attr w:name="Year" w:val="2000"/>
          <w:attr w:name="Day" w:val="1"/>
          <w:attr w:name="Month" w:val="9"/>
        </w:smartTagPr>
        <w:r w:rsidRPr="004441B6">
          <w:rPr>
            <w:rFonts w:ascii="Verdana" w:hAnsi="Verdana"/>
            <w:sz w:val="20"/>
            <w:szCs w:val="20"/>
          </w:rPr>
          <w:t>September 1, 2000</w:t>
        </w:r>
      </w:smartTag>
      <w:r w:rsidRPr="004441B6">
        <w:rPr>
          <w:rFonts w:ascii="Verdana" w:hAnsi="Verdana"/>
          <w:sz w:val="20"/>
          <w:szCs w:val="20"/>
        </w:rPr>
        <w:t xml:space="preserve">, applications not in compliance with the modular application instructions </w:t>
      </w:r>
      <w:proofErr w:type="gramStart"/>
      <w:r w:rsidRPr="004441B6">
        <w:rPr>
          <w:rFonts w:ascii="Verdana" w:hAnsi="Verdana"/>
          <w:sz w:val="20"/>
          <w:szCs w:val="20"/>
        </w:rPr>
        <w:t>will be returned</w:t>
      </w:r>
      <w:proofErr w:type="gramEnd"/>
      <w:r w:rsidRPr="004441B6">
        <w:rPr>
          <w:rFonts w:ascii="Verdana" w:hAnsi="Verdana"/>
          <w:sz w:val="20"/>
          <w:szCs w:val="20"/>
        </w:rPr>
        <w:t xml:space="preserve"> to the applicant institution by the Center for Scientific Review. Applications revised and resubmitted to NIH in a timely manner may remain in the intended review cycle. See NIH Guide: NIH Modular Grant Application Modification and Update </w:t>
      </w:r>
      <w:hyperlink r:id="rId11" w:history="1">
        <w:r w:rsidRPr="004441B6">
          <w:rPr>
            <w:rStyle w:val="Hyperlink"/>
            <w:rFonts w:ascii="Verdana" w:hAnsi="Verdana"/>
            <w:sz w:val="20"/>
            <w:szCs w:val="20"/>
          </w:rPr>
          <w:t>http://grants.nih.gov/grants/guide/notice-files/NOT-OD-00-046.html.</w:t>
        </w:r>
      </w:hyperlink>
    </w:p>
    <w:p w:rsidR="00416685" w:rsidRPr="004441B6" w:rsidRDefault="00416685" w:rsidP="00461E54">
      <w:pPr>
        <w:pStyle w:val="NormalWeb"/>
        <w:numPr>
          <w:ilvl w:val="0"/>
          <w:numId w:val="11"/>
        </w:numPr>
        <w:tabs>
          <w:tab w:val="clear" w:pos="720"/>
          <w:tab w:val="num" w:pos="540"/>
        </w:tabs>
        <w:ind w:left="540" w:right="-360" w:hanging="540"/>
        <w:rPr>
          <w:rFonts w:ascii="Verdana" w:hAnsi="Verdana"/>
          <w:b/>
          <w:bCs/>
          <w:i/>
          <w:iCs/>
          <w:sz w:val="20"/>
          <w:szCs w:val="20"/>
        </w:rPr>
      </w:pPr>
      <w:bookmarkStart w:id="9" w:name="q3b"/>
      <w:bookmarkEnd w:id="9"/>
      <w:r w:rsidRPr="004441B6">
        <w:rPr>
          <w:rFonts w:ascii="Verdana" w:hAnsi="Verdana"/>
          <w:b/>
          <w:bCs/>
          <w:i/>
          <w:iCs/>
          <w:sz w:val="20"/>
          <w:szCs w:val="20"/>
        </w:rPr>
        <w:t>Under the Modular Grant model, are there any changes regarding submission of certifications of human or animal use?</w:t>
      </w:r>
    </w:p>
    <w:p w:rsidR="00416685" w:rsidRPr="004441B6" w:rsidRDefault="00416685" w:rsidP="00461E54">
      <w:pPr>
        <w:pStyle w:val="NormalWeb"/>
        <w:ind w:left="540" w:right="-360"/>
        <w:rPr>
          <w:rFonts w:ascii="Verdana" w:hAnsi="Verdana"/>
          <w:sz w:val="20"/>
          <w:szCs w:val="20"/>
        </w:rPr>
      </w:pPr>
      <w:r w:rsidRPr="004441B6">
        <w:rPr>
          <w:rFonts w:ascii="Verdana" w:hAnsi="Verdana"/>
          <w:sz w:val="20"/>
          <w:szCs w:val="20"/>
        </w:rPr>
        <w:t>No.</w:t>
      </w:r>
    </w:p>
    <w:p w:rsidR="00416685" w:rsidRPr="004441B6" w:rsidRDefault="00416685" w:rsidP="00461E54">
      <w:pPr>
        <w:pStyle w:val="NormalWeb"/>
        <w:numPr>
          <w:ilvl w:val="0"/>
          <w:numId w:val="12"/>
        </w:numPr>
        <w:tabs>
          <w:tab w:val="clear" w:pos="720"/>
          <w:tab w:val="num" w:pos="540"/>
        </w:tabs>
        <w:ind w:left="540" w:right="-360" w:hanging="540"/>
        <w:rPr>
          <w:rFonts w:ascii="Verdana" w:hAnsi="Verdana"/>
          <w:b/>
          <w:bCs/>
          <w:i/>
          <w:iCs/>
          <w:sz w:val="20"/>
          <w:szCs w:val="20"/>
        </w:rPr>
      </w:pPr>
      <w:bookmarkStart w:id="10" w:name="q4b"/>
      <w:bookmarkEnd w:id="10"/>
      <w:r w:rsidRPr="004441B6">
        <w:rPr>
          <w:rFonts w:ascii="Verdana" w:hAnsi="Verdana"/>
          <w:b/>
          <w:bCs/>
          <w:i/>
          <w:iCs/>
          <w:sz w:val="20"/>
          <w:szCs w:val="20"/>
        </w:rPr>
        <w:t xml:space="preserve">May we submit an R01 application after </w:t>
      </w:r>
      <w:smartTag w:uri="urn:schemas-microsoft-com:office:smarttags" w:element="date">
        <w:smartTagPr>
          <w:attr w:name="Year" w:val="1999"/>
          <w:attr w:name="Day" w:val="1"/>
          <w:attr w:name="Month" w:val="6"/>
        </w:smartTagPr>
        <w:r w:rsidRPr="004441B6">
          <w:rPr>
            <w:rFonts w:ascii="Verdana" w:hAnsi="Verdana"/>
            <w:b/>
            <w:bCs/>
            <w:i/>
            <w:iCs/>
            <w:sz w:val="20"/>
            <w:szCs w:val="20"/>
          </w:rPr>
          <w:t>June 1, 1999</w:t>
        </w:r>
      </w:smartTag>
      <w:r w:rsidRPr="004441B6">
        <w:rPr>
          <w:rFonts w:ascii="Verdana" w:hAnsi="Verdana"/>
          <w:b/>
          <w:bCs/>
          <w:i/>
          <w:iCs/>
          <w:sz w:val="20"/>
          <w:szCs w:val="20"/>
        </w:rPr>
        <w:t xml:space="preserve"> with the regular budget format if we want to?</w:t>
      </w:r>
    </w:p>
    <w:p w:rsidR="00416685" w:rsidRPr="004441B6" w:rsidRDefault="00416685" w:rsidP="00461E54">
      <w:pPr>
        <w:pStyle w:val="NormalWeb"/>
        <w:ind w:left="540" w:right="-360"/>
        <w:rPr>
          <w:rFonts w:ascii="Verdana" w:hAnsi="Verdana"/>
          <w:sz w:val="20"/>
          <w:szCs w:val="20"/>
        </w:rPr>
      </w:pPr>
      <w:r w:rsidRPr="004441B6">
        <w:rPr>
          <w:rFonts w:ascii="Verdana" w:hAnsi="Verdana"/>
          <w:sz w:val="20"/>
          <w:szCs w:val="20"/>
        </w:rPr>
        <w:t>No. The Modular Grant application format is now the regular format for applications requesting up to $250,000 in direct costs per year.</w:t>
      </w:r>
    </w:p>
    <w:p w:rsidR="00416685" w:rsidRPr="004441B6" w:rsidRDefault="00416685" w:rsidP="00461E54">
      <w:pPr>
        <w:pStyle w:val="NormalWeb"/>
        <w:numPr>
          <w:ilvl w:val="0"/>
          <w:numId w:val="13"/>
        </w:numPr>
        <w:tabs>
          <w:tab w:val="clear" w:pos="720"/>
          <w:tab w:val="num" w:pos="540"/>
        </w:tabs>
        <w:ind w:left="540" w:right="-360" w:hanging="540"/>
        <w:rPr>
          <w:rFonts w:ascii="Verdana" w:hAnsi="Verdana"/>
          <w:b/>
          <w:bCs/>
          <w:i/>
          <w:iCs/>
          <w:sz w:val="20"/>
          <w:szCs w:val="20"/>
        </w:rPr>
      </w:pPr>
      <w:bookmarkStart w:id="11" w:name="q5b"/>
      <w:bookmarkEnd w:id="11"/>
      <w:r w:rsidRPr="004441B6">
        <w:rPr>
          <w:rFonts w:ascii="Verdana" w:hAnsi="Verdana"/>
          <w:b/>
          <w:bCs/>
          <w:i/>
          <w:iCs/>
          <w:sz w:val="20"/>
          <w:szCs w:val="20"/>
        </w:rPr>
        <w:t>Will Modular Grants have the same cycle from submission to award as non-modular applications?</w:t>
      </w:r>
    </w:p>
    <w:p w:rsidR="00416685" w:rsidRPr="004441B6" w:rsidRDefault="00416685" w:rsidP="00461E54">
      <w:pPr>
        <w:pStyle w:val="NormalWeb"/>
        <w:ind w:left="540"/>
        <w:rPr>
          <w:rFonts w:ascii="Verdana" w:hAnsi="Verdana"/>
          <w:sz w:val="20"/>
          <w:szCs w:val="20"/>
        </w:rPr>
      </w:pPr>
      <w:r w:rsidRPr="004441B6">
        <w:rPr>
          <w:rFonts w:ascii="Verdana" w:hAnsi="Verdana"/>
          <w:sz w:val="20"/>
          <w:szCs w:val="20"/>
        </w:rPr>
        <w:t xml:space="preserve">Yes. </w:t>
      </w:r>
      <w:proofErr w:type="gramStart"/>
      <w:r w:rsidRPr="004441B6">
        <w:rPr>
          <w:rFonts w:ascii="Verdana" w:hAnsi="Verdana"/>
          <w:sz w:val="20"/>
          <w:szCs w:val="20"/>
        </w:rPr>
        <w:t>But</w:t>
      </w:r>
      <w:proofErr w:type="gramEnd"/>
      <w:r w:rsidRPr="004441B6">
        <w:rPr>
          <w:rFonts w:ascii="Verdana" w:hAnsi="Verdana"/>
          <w:sz w:val="20"/>
          <w:szCs w:val="20"/>
        </w:rPr>
        <w:t xml:space="preserve"> NIH is aggressively working to shorten the cycle as part of its overall Reinvention Initiatives.</w:t>
      </w:r>
    </w:p>
    <w:p w:rsidR="00416685" w:rsidRPr="004441B6" w:rsidRDefault="00416685" w:rsidP="00461E54">
      <w:pPr>
        <w:pStyle w:val="NormalWeb"/>
        <w:numPr>
          <w:ilvl w:val="0"/>
          <w:numId w:val="14"/>
        </w:numPr>
        <w:tabs>
          <w:tab w:val="clear" w:pos="720"/>
          <w:tab w:val="num" w:pos="540"/>
        </w:tabs>
        <w:ind w:left="540" w:right="-360" w:hanging="540"/>
        <w:rPr>
          <w:rFonts w:ascii="Verdana" w:hAnsi="Verdana"/>
          <w:b/>
          <w:bCs/>
          <w:i/>
          <w:iCs/>
          <w:sz w:val="20"/>
          <w:szCs w:val="20"/>
        </w:rPr>
      </w:pPr>
      <w:bookmarkStart w:id="12" w:name="q6b"/>
      <w:bookmarkEnd w:id="12"/>
      <w:r w:rsidRPr="004441B6">
        <w:rPr>
          <w:rFonts w:ascii="Verdana" w:hAnsi="Verdana"/>
          <w:b/>
          <w:bCs/>
          <w:i/>
          <w:iCs/>
          <w:sz w:val="20"/>
          <w:szCs w:val="20"/>
        </w:rPr>
        <w:t xml:space="preserve">Is budget narrative required for Key personnel only or </w:t>
      </w:r>
      <w:proofErr w:type="gramStart"/>
      <w:r w:rsidRPr="004441B6">
        <w:rPr>
          <w:rFonts w:ascii="Verdana" w:hAnsi="Verdana"/>
          <w:b/>
          <w:bCs/>
          <w:i/>
          <w:iCs/>
          <w:sz w:val="20"/>
          <w:szCs w:val="20"/>
        </w:rPr>
        <w:t>All</w:t>
      </w:r>
      <w:proofErr w:type="gramEnd"/>
      <w:r w:rsidRPr="004441B6">
        <w:rPr>
          <w:rFonts w:ascii="Verdana" w:hAnsi="Verdana"/>
          <w:b/>
          <w:bCs/>
          <w:i/>
          <w:iCs/>
          <w:sz w:val="20"/>
          <w:szCs w:val="20"/>
        </w:rPr>
        <w:t xml:space="preserve"> personnel?</w:t>
      </w:r>
    </w:p>
    <w:p w:rsidR="00416685" w:rsidRPr="004441B6" w:rsidRDefault="00416685" w:rsidP="00461E54">
      <w:pPr>
        <w:pStyle w:val="NormalWeb"/>
        <w:ind w:left="540"/>
        <w:rPr>
          <w:rFonts w:ascii="Verdana" w:hAnsi="Verdana"/>
          <w:sz w:val="20"/>
          <w:szCs w:val="20"/>
        </w:rPr>
      </w:pPr>
      <w:r w:rsidRPr="004441B6">
        <w:rPr>
          <w:rFonts w:ascii="Verdana" w:hAnsi="Verdana"/>
          <w:sz w:val="20"/>
          <w:szCs w:val="20"/>
        </w:rPr>
        <w:t xml:space="preserve">Provide budget narrative for ALL personnel by position, role, and level of effort. This includes consultants, personnel on any Consortium/Contractual arrangements and any "to be appointed" positions. See NIH Guide: NIH Modular Grant Application Modification and Update </w:t>
      </w:r>
      <w:hyperlink r:id="rId12" w:history="1">
        <w:r w:rsidRPr="004441B6">
          <w:rPr>
            <w:rStyle w:val="Hyperlink"/>
            <w:rFonts w:ascii="Verdana" w:hAnsi="Verdana"/>
            <w:sz w:val="20"/>
            <w:szCs w:val="20"/>
          </w:rPr>
          <w:t>http://grants.nih.gov/grants/guide/notice-files/NOT-OD-00-046.html</w:t>
        </w:r>
      </w:hyperlink>
      <w:r w:rsidRPr="004441B6">
        <w:rPr>
          <w:rFonts w:ascii="Verdana" w:hAnsi="Verdana"/>
          <w:sz w:val="20"/>
          <w:szCs w:val="20"/>
        </w:rPr>
        <w:t>.</w:t>
      </w:r>
    </w:p>
    <w:p w:rsidR="00416685" w:rsidRPr="004441B6" w:rsidRDefault="00416685" w:rsidP="004441B6">
      <w:pPr>
        <w:ind w:right="-360"/>
        <w:rPr>
          <w:rFonts w:ascii="Verdana" w:hAnsi="Verdana" w:cs="Arial"/>
          <w:sz w:val="20"/>
          <w:szCs w:val="20"/>
        </w:rPr>
      </w:pPr>
      <w:r w:rsidRPr="004441B6">
        <w:rPr>
          <w:rFonts w:ascii="Verdana" w:hAnsi="Verdana" w:cs="Arial"/>
          <w:sz w:val="20"/>
          <w:szCs w:val="20"/>
        </w:rPr>
        <w:lastRenderedPageBreak/>
        <w:pict>
          <v:rect id="_x0000_i1028" style="width:0;height:3pt" o:hralign="center" o:hrstd="t" o:hr="t" fillcolor="#aca899" stroked="f"/>
        </w:pict>
      </w:r>
    </w:p>
    <w:p w:rsidR="00416685" w:rsidRPr="004441B6" w:rsidRDefault="00416685" w:rsidP="004441B6">
      <w:pPr>
        <w:pStyle w:val="Heading3"/>
        <w:ind w:right="-360"/>
        <w:rPr>
          <w:rFonts w:ascii="Verdana" w:hAnsi="Verdana"/>
          <w:sz w:val="20"/>
          <w:szCs w:val="20"/>
        </w:rPr>
      </w:pPr>
      <w:bookmarkStart w:id="13" w:name="q1c"/>
      <w:bookmarkEnd w:id="13"/>
      <w:r w:rsidRPr="004441B6">
        <w:rPr>
          <w:rFonts w:ascii="Verdana" w:hAnsi="Verdana"/>
          <w:sz w:val="20"/>
          <w:szCs w:val="20"/>
        </w:rPr>
        <w:t>BUDGETARY ISSUES</w:t>
      </w:r>
    </w:p>
    <w:p w:rsidR="00416685" w:rsidRPr="004441B6" w:rsidRDefault="00416685" w:rsidP="004441B6">
      <w:pPr>
        <w:ind w:right="-360"/>
        <w:rPr>
          <w:rFonts w:ascii="Verdana" w:hAnsi="Verdana" w:cs="Arial"/>
          <w:sz w:val="20"/>
          <w:szCs w:val="20"/>
        </w:rPr>
      </w:pPr>
      <w:r w:rsidRPr="004441B6">
        <w:rPr>
          <w:rFonts w:ascii="Verdana" w:hAnsi="Verdana" w:cs="Arial"/>
          <w:sz w:val="20"/>
          <w:szCs w:val="20"/>
        </w:rPr>
        <w:pict>
          <v:rect id="_x0000_i1029" style="width:0;height:1.5pt" o:hralign="center" o:hrstd="t" o:hr="t" fillcolor="#aca899" stroked="f"/>
        </w:pict>
      </w:r>
    </w:p>
    <w:p w:rsidR="00416685" w:rsidRPr="004441B6" w:rsidRDefault="00416685" w:rsidP="003B0802">
      <w:pPr>
        <w:pStyle w:val="NormalWeb"/>
        <w:numPr>
          <w:ilvl w:val="0"/>
          <w:numId w:val="15"/>
        </w:numPr>
        <w:tabs>
          <w:tab w:val="clear" w:pos="720"/>
          <w:tab w:val="num" w:pos="540"/>
        </w:tabs>
        <w:ind w:left="540" w:right="-360" w:hanging="540"/>
        <w:rPr>
          <w:rFonts w:ascii="Verdana" w:hAnsi="Verdana"/>
          <w:b/>
          <w:bCs/>
          <w:i/>
          <w:iCs/>
          <w:sz w:val="20"/>
          <w:szCs w:val="20"/>
        </w:rPr>
      </w:pPr>
      <w:r w:rsidRPr="004441B6">
        <w:rPr>
          <w:rFonts w:ascii="Verdana" w:hAnsi="Verdana"/>
          <w:b/>
          <w:bCs/>
          <w:i/>
          <w:iCs/>
          <w:sz w:val="20"/>
          <w:szCs w:val="20"/>
        </w:rPr>
        <w:t>I understand that Modular Grant applications may not request future year escalation, at least in the usual way. Does this apply to non-modular grant applications requesting more than $250,000 per year?</w:t>
      </w:r>
    </w:p>
    <w:p w:rsidR="00416685" w:rsidRPr="004441B6" w:rsidRDefault="00416685" w:rsidP="003B0802">
      <w:pPr>
        <w:pStyle w:val="NormalWeb"/>
        <w:tabs>
          <w:tab w:val="num" w:pos="540"/>
        </w:tabs>
        <w:ind w:left="540"/>
        <w:rPr>
          <w:rFonts w:ascii="Verdana" w:hAnsi="Verdana"/>
          <w:sz w:val="20"/>
          <w:szCs w:val="20"/>
        </w:rPr>
      </w:pPr>
      <w:r w:rsidRPr="004441B6">
        <w:rPr>
          <w:rFonts w:ascii="Verdana" w:hAnsi="Verdana"/>
          <w:sz w:val="20"/>
          <w:szCs w:val="20"/>
        </w:rPr>
        <w:t xml:space="preserve">Applications requesting more than $250,000 direct costs should submit budgetary </w:t>
      </w:r>
      <w:proofErr w:type="gramStart"/>
      <w:r w:rsidRPr="004441B6">
        <w:rPr>
          <w:rFonts w:ascii="Verdana" w:hAnsi="Verdana"/>
          <w:sz w:val="20"/>
          <w:szCs w:val="20"/>
        </w:rPr>
        <w:t>detail</w:t>
      </w:r>
      <w:proofErr w:type="gramEnd"/>
      <w:r w:rsidRPr="004441B6">
        <w:rPr>
          <w:rFonts w:ascii="Verdana" w:hAnsi="Verdana"/>
          <w:sz w:val="20"/>
          <w:szCs w:val="20"/>
        </w:rPr>
        <w:t xml:space="preserve"> as is the current practice, including future year escalations.</w:t>
      </w:r>
    </w:p>
    <w:p w:rsidR="00416685" w:rsidRPr="004441B6" w:rsidRDefault="00416685" w:rsidP="003B0802">
      <w:pPr>
        <w:pStyle w:val="NormalWeb"/>
        <w:numPr>
          <w:ilvl w:val="0"/>
          <w:numId w:val="16"/>
        </w:numPr>
        <w:tabs>
          <w:tab w:val="clear" w:pos="720"/>
          <w:tab w:val="num" w:pos="540"/>
        </w:tabs>
        <w:ind w:left="540" w:right="-360" w:hanging="540"/>
        <w:rPr>
          <w:rFonts w:ascii="Verdana" w:hAnsi="Verdana"/>
          <w:b/>
          <w:bCs/>
          <w:i/>
          <w:iCs/>
          <w:sz w:val="20"/>
          <w:szCs w:val="20"/>
        </w:rPr>
      </w:pPr>
      <w:bookmarkStart w:id="14" w:name="q2c"/>
      <w:bookmarkEnd w:id="14"/>
      <w:r w:rsidRPr="004441B6">
        <w:rPr>
          <w:rFonts w:ascii="Verdana" w:hAnsi="Verdana"/>
          <w:b/>
          <w:bCs/>
          <w:i/>
          <w:iCs/>
          <w:sz w:val="20"/>
          <w:szCs w:val="20"/>
        </w:rPr>
        <w:t>What do I do if I need more than $250,000 in direct costs in one or more years?</w:t>
      </w:r>
    </w:p>
    <w:p w:rsidR="00416685" w:rsidRPr="004441B6" w:rsidRDefault="00416685" w:rsidP="003B0802">
      <w:pPr>
        <w:pStyle w:val="NormalWeb"/>
        <w:tabs>
          <w:tab w:val="num" w:pos="540"/>
        </w:tabs>
        <w:ind w:left="540" w:right="180"/>
        <w:rPr>
          <w:rFonts w:ascii="Verdana" w:hAnsi="Verdana"/>
          <w:sz w:val="20"/>
          <w:szCs w:val="20"/>
        </w:rPr>
      </w:pPr>
      <w:r w:rsidRPr="004441B6">
        <w:rPr>
          <w:rFonts w:ascii="Verdana" w:hAnsi="Verdana"/>
          <w:sz w:val="20"/>
          <w:szCs w:val="20"/>
        </w:rPr>
        <w:t>Submit the detailed categorical budget information on Form Pages 4 and 5 as is currently required. In addition, follow all instructions in the PHS 398 form. None of the modular grant application instructions would apply.</w:t>
      </w:r>
    </w:p>
    <w:p w:rsidR="00416685" w:rsidRPr="004441B6" w:rsidRDefault="00416685" w:rsidP="003B0802">
      <w:pPr>
        <w:pStyle w:val="NormalWeb"/>
        <w:numPr>
          <w:ilvl w:val="0"/>
          <w:numId w:val="17"/>
        </w:numPr>
        <w:tabs>
          <w:tab w:val="clear" w:pos="720"/>
          <w:tab w:val="num" w:pos="540"/>
        </w:tabs>
        <w:ind w:left="540" w:right="-360" w:hanging="540"/>
        <w:rPr>
          <w:rFonts w:ascii="Verdana" w:hAnsi="Verdana"/>
          <w:b/>
          <w:bCs/>
          <w:i/>
          <w:iCs/>
          <w:sz w:val="20"/>
          <w:szCs w:val="20"/>
        </w:rPr>
      </w:pPr>
      <w:bookmarkStart w:id="15" w:name="q3c"/>
      <w:bookmarkEnd w:id="15"/>
      <w:r w:rsidRPr="004441B6">
        <w:rPr>
          <w:rFonts w:ascii="Verdana" w:hAnsi="Verdana"/>
          <w:b/>
          <w:bCs/>
          <w:i/>
          <w:iCs/>
          <w:sz w:val="20"/>
          <w:szCs w:val="20"/>
        </w:rPr>
        <w:t>Do we continue to include the first $25,000 of total costs per consortium in calculating our F&amp;A costs?</w:t>
      </w:r>
    </w:p>
    <w:p w:rsidR="00416685" w:rsidRPr="004441B6" w:rsidRDefault="00416685" w:rsidP="003B0802">
      <w:pPr>
        <w:pStyle w:val="NormalWeb"/>
        <w:tabs>
          <w:tab w:val="num" w:pos="540"/>
        </w:tabs>
        <w:ind w:left="540"/>
        <w:rPr>
          <w:rFonts w:ascii="Verdana" w:hAnsi="Verdana"/>
          <w:sz w:val="20"/>
          <w:szCs w:val="20"/>
        </w:rPr>
      </w:pPr>
      <w:r w:rsidRPr="004441B6">
        <w:rPr>
          <w:rFonts w:ascii="Verdana" w:hAnsi="Verdana"/>
          <w:sz w:val="20"/>
          <w:szCs w:val="20"/>
        </w:rPr>
        <w:t>Yes, as long as this is consistent with your institution's F&amp;A rate agreement. Include the statement of intent to establish a consortium between the participating institutions.</w:t>
      </w:r>
    </w:p>
    <w:p w:rsidR="00416685" w:rsidRPr="004441B6" w:rsidRDefault="00416685" w:rsidP="003B0802">
      <w:pPr>
        <w:pStyle w:val="NormalWeb"/>
        <w:numPr>
          <w:ilvl w:val="0"/>
          <w:numId w:val="18"/>
        </w:numPr>
        <w:tabs>
          <w:tab w:val="clear" w:pos="720"/>
          <w:tab w:val="num" w:pos="540"/>
        </w:tabs>
        <w:ind w:left="540" w:right="-360" w:hanging="540"/>
        <w:rPr>
          <w:rFonts w:ascii="Verdana" w:hAnsi="Verdana"/>
          <w:b/>
          <w:bCs/>
          <w:i/>
          <w:iCs/>
          <w:sz w:val="20"/>
          <w:szCs w:val="20"/>
        </w:rPr>
      </w:pPr>
      <w:bookmarkStart w:id="16" w:name="q4c"/>
      <w:bookmarkEnd w:id="16"/>
      <w:r w:rsidRPr="004441B6">
        <w:rPr>
          <w:rFonts w:ascii="Verdana" w:hAnsi="Verdana"/>
          <w:b/>
          <w:bCs/>
          <w:i/>
          <w:iCs/>
          <w:sz w:val="20"/>
          <w:szCs w:val="20"/>
        </w:rPr>
        <w:t>The Modular Grant model requires budget information about consortium/contractual arrangements. Do the Facilities and Administrative (indirect) costs on such an arrangement become part of the total modular amount requested or can the total be exceeded by the amount of the F&amp;A costs?</w:t>
      </w:r>
    </w:p>
    <w:p w:rsidR="00416685" w:rsidRPr="004441B6" w:rsidRDefault="00416685" w:rsidP="003B0802">
      <w:pPr>
        <w:pStyle w:val="NormalWeb"/>
        <w:tabs>
          <w:tab w:val="num" w:pos="540"/>
        </w:tabs>
        <w:ind w:left="540"/>
        <w:rPr>
          <w:rFonts w:ascii="Verdana" w:hAnsi="Verdana"/>
          <w:sz w:val="20"/>
          <w:szCs w:val="20"/>
        </w:rPr>
      </w:pPr>
      <w:r w:rsidRPr="004441B6">
        <w:rPr>
          <w:rFonts w:ascii="Verdana" w:hAnsi="Verdana"/>
          <w:sz w:val="20"/>
          <w:szCs w:val="20"/>
        </w:rPr>
        <w:t>The number of modules requested must include the F&amp;A costs associated with a consortium/contractual arrangement.</w:t>
      </w:r>
    </w:p>
    <w:p w:rsidR="00416685" w:rsidRPr="004441B6" w:rsidRDefault="00416685" w:rsidP="003B0802">
      <w:pPr>
        <w:pStyle w:val="NormalWeb"/>
        <w:numPr>
          <w:ilvl w:val="0"/>
          <w:numId w:val="19"/>
        </w:numPr>
        <w:tabs>
          <w:tab w:val="clear" w:pos="720"/>
          <w:tab w:val="num" w:pos="540"/>
        </w:tabs>
        <w:ind w:left="540" w:right="-360" w:hanging="540"/>
        <w:rPr>
          <w:rFonts w:ascii="Verdana" w:hAnsi="Verdana"/>
          <w:b/>
          <w:bCs/>
          <w:i/>
          <w:iCs/>
          <w:sz w:val="20"/>
          <w:szCs w:val="20"/>
        </w:rPr>
      </w:pPr>
      <w:bookmarkStart w:id="17" w:name="q5c"/>
      <w:bookmarkEnd w:id="17"/>
      <w:r w:rsidRPr="004441B6">
        <w:rPr>
          <w:rFonts w:ascii="Verdana" w:hAnsi="Verdana"/>
          <w:b/>
          <w:bCs/>
          <w:i/>
          <w:iCs/>
          <w:sz w:val="20"/>
          <w:szCs w:val="20"/>
        </w:rPr>
        <w:t xml:space="preserve">How will Facilities &amp; Administrative (indirect) costs </w:t>
      </w:r>
      <w:proofErr w:type="gramStart"/>
      <w:r w:rsidRPr="004441B6">
        <w:rPr>
          <w:rFonts w:ascii="Verdana" w:hAnsi="Verdana"/>
          <w:b/>
          <w:bCs/>
          <w:i/>
          <w:iCs/>
          <w:sz w:val="20"/>
          <w:szCs w:val="20"/>
        </w:rPr>
        <w:t>be requested and awarded with Modular Grants</w:t>
      </w:r>
      <w:proofErr w:type="gramEnd"/>
      <w:r w:rsidRPr="004441B6">
        <w:rPr>
          <w:rFonts w:ascii="Verdana" w:hAnsi="Verdana"/>
          <w:b/>
          <w:bCs/>
          <w:i/>
          <w:iCs/>
          <w:sz w:val="20"/>
          <w:szCs w:val="20"/>
        </w:rPr>
        <w:t>?</w:t>
      </w:r>
    </w:p>
    <w:p w:rsidR="00416685" w:rsidRPr="004441B6" w:rsidRDefault="00416685" w:rsidP="003B0802">
      <w:pPr>
        <w:pStyle w:val="NormalWeb"/>
        <w:tabs>
          <w:tab w:val="num" w:pos="540"/>
        </w:tabs>
        <w:ind w:left="540"/>
        <w:rPr>
          <w:rFonts w:ascii="Verdana" w:hAnsi="Verdana"/>
          <w:sz w:val="20"/>
          <w:szCs w:val="20"/>
        </w:rPr>
      </w:pPr>
      <w:r w:rsidRPr="004441B6">
        <w:rPr>
          <w:rFonts w:ascii="Verdana" w:hAnsi="Verdana"/>
          <w:sz w:val="20"/>
          <w:szCs w:val="20"/>
        </w:rPr>
        <w:t xml:space="preserve">F&amp;A costs </w:t>
      </w:r>
      <w:proofErr w:type="gramStart"/>
      <w:r w:rsidRPr="004441B6">
        <w:rPr>
          <w:rFonts w:ascii="Verdana" w:hAnsi="Verdana"/>
          <w:sz w:val="20"/>
          <w:szCs w:val="20"/>
        </w:rPr>
        <w:t>will be requested and awarded in the same manner as they are now</w:t>
      </w:r>
      <w:proofErr w:type="gramEnd"/>
      <w:r w:rsidRPr="004441B6">
        <w:rPr>
          <w:rFonts w:ascii="Verdana" w:hAnsi="Verdana"/>
          <w:sz w:val="20"/>
          <w:szCs w:val="20"/>
        </w:rPr>
        <w:t>. The Checklist submitted with the application will describe the appropriate direct cost base and the F&amp;A rate that applies for all years.</w:t>
      </w:r>
    </w:p>
    <w:p w:rsidR="00416685" w:rsidRPr="004441B6" w:rsidRDefault="00416685" w:rsidP="003B0802">
      <w:pPr>
        <w:pStyle w:val="NormalWeb"/>
        <w:numPr>
          <w:ilvl w:val="0"/>
          <w:numId w:val="20"/>
        </w:numPr>
        <w:tabs>
          <w:tab w:val="clear" w:pos="720"/>
          <w:tab w:val="num" w:pos="540"/>
        </w:tabs>
        <w:ind w:left="540" w:right="-360" w:hanging="540"/>
        <w:rPr>
          <w:rFonts w:ascii="Verdana" w:hAnsi="Verdana"/>
          <w:b/>
          <w:bCs/>
          <w:i/>
          <w:iCs/>
          <w:sz w:val="20"/>
          <w:szCs w:val="20"/>
        </w:rPr>
      </w:pPr>
      <w:bookmarkStart w:id="18" w:name="q6c"/>
      <w:bookmarkEnd w:id="18"/>
      <w:r w:rsidRPr="004441B6">
        <w:rPr>
          <w:rFonts w:ascii="Verdana" w:hAnsi="Verdana"/>
          <w:b/>
          <w:bCs/>
          <w:i/>
          <w:iCs/>
          <w:sz w:val="20"/>
          <w:szCs w:val="20"/>
        </w:rPr>
        <w:t xml:space="preserve">How do we handle escalation in future years if it </w:t>
      </w:r>
      <w:proofErr w:type="gramStart"/>
      <w:r w:rsidRPr="004441B6">
        <w:rPr>
          <w:rFonts w:ascii="Verdana" w:hAnsi="Verdana"/>
          <w:b/>
          <w:bCs/>
          <w:i/>
          <w:iCs/>
          <w:sz w:val="20"/>
          <w:szCs w:val="20"/>
        </w:rPr>
        <w:t>is expected</w:t>
      </w:r>
      <w:proofErr w:type="gramEnd"/>
      <w:r w:rsidRPr="004441B6">
        <w:rPr>
          <w:rFonts w:ascii="Verdana" w:hAnsi="Verdana"/>
          <w:b/>
          <w:bCs/>
          <w:i/>
          <w:iCs/>
          <w:sz w:val="20"/>
          <w:szCs w:val="20"/>
        </w:rPr>
        <w:t xml:space="preserve"> that all years will typically request the same number of modules?</w:t>
      </w:r>
    </w:p>
    <w:p w:rsidR="00416685" w:rsidRPr="004441B6" w:rsidRDefault="00416685" w:rsidP="003B0802">
      <w:pPr>
        <w:pStyle w:val="NormalWeb"/>
        <w:tabs>
          <w:tab w:val="num" w:pos="540"/>
        </w:tabs>
        <w:ind w:left="540"/>
        <w:rPr>
          <w:rFonts w:ascii="Verdana" w:hAnsi="Verdana"/>
          <w:sz w:val="20"/>
          <w:szCs w:val="20"/>
        </w:rPr>
      </w:pPr>
      <w:proofErr w:type="gramStart"/>
      <w:r w:rsidRPr="004441B6">
        <w:rPr>
          <w:rFonts w:ascii="Verdana" w:hAnsi="Verdana"/>
          <w:sz w:val="20"/>
          <w:szCs w:val="20"/>
        </w:rPr>
        <w:t>Basically, you</w:t>
      </w:r>
      <w:proofErr w:type="gramEnd"/>
      <w:r w:rsidRPr="004441B6">
        <w:rPr>
          <w:rFonts w:ascii="Verdana" w:hAnsi="Verdana"/>
          <w:sz w:val="20"/>
          <w:szCs w:val="20"/>
        </w:rPr>
        <w:t xml:space="preserve"> will calculate the total direct costs you need over all the years, including one time costs (such as equipment) and escalation, and then divide by the number of years. Then select the amount in modules of $25,000 closest to that dollar level. This process is not applicable if the costs </w:t>
      </w:r>
      <w:proofErr w:type="gramStart"/>
      <w:r w:rsidRPr="004441B6">
        <w:rPr>
          <w:rFonts w:ascii="Verdana" w:hAnsi="Verdana"/>
          <w:sz w:val="20"/>
          <w:szCs w:val="20"/>
        </w:rPr>
        <w:t>are expected</w:t>
      </w:r>
      <w:proofErr w:type="gramEnd"/>
      <w:r w:rsidRPr="004441B6">
        <w:rPr>
          <w:rFonts w:ascii="Verdana" w:hAnsi="Verdana"/>
          <w:sz w:val="20"/>
          <w:szCs w:val="20"/>
        </w:rPr>
        <w:t xml:space="preserve"> to differ significantly from year to year. In these latter situations, appropriate annual variations in the number of modules </w:t>
      </w:r>
      <w:proofErr w:type="gramStart"/>
      <w:r w:rsidRPr="004441B6">
        <w:rPr>
          <w:rFonts w:ascii="Verdana" w:hAnsi="Verdana"/>
          <w:sz w:val="20"/>
          <w:szCs w:val="20"/>
        </w:rPr>
        <w:t>should be requested</w:t>
      </w:r>
      <w:proofErr w:type="gramEnd"/>
      <w:r w:rsidRPr="004441B6">
        <w:rPr>
          <w:rFonts w:ascii="Verdana" w:hAnsi="Verdana"/>
          <w:sz w:val="20"/>
          <w:szCs w:val="20"/>
        </w:rPr>
        <w:t>.</w:t>
      </w:r>
    </w:p>
    <w:p w:rsidR="00416685" w:rsidRPr="004441B6" w:rsidRDefault="00416685" w:rsidP="003B0802">
      <w:pPr>
        <w:pStyle w:val="NormalWeb"/>
        <w:numPr>
          <w:ilvl w:val="0"/>
          <w:numId w:val="21"/>
        </w:numPr>
        <w:tabs>
          <w:tab w:val="clear" w:pos="720"/>
          <w:tab w:val="num" w:pos="540"/>
        </w:tabs>
        <w:ind w:left="540" w:right="-360" w:hanging="540"/>
        <w:rPr>
          <w:rFonts w:ascii="Verdana" w:hAnsi="Verdana"/>
          <w:b/>
          <w:bCs/>
          <w:i/>
          <w:iCs/>
          <w:sz w:val="20"/>
          <w:szCs w:val="20"/>
        </w:rPr>
      </w:pPr>
      <w:bookmarkStart w:id="19" w:name="q7c"/>
      <w:bookmarkEnd w:id="19"/>
      <w:r w:rsidRPr="004441B6">
        <w:rPr>
          <w:rFonts w:ascii="Verdana" w:hAnsi="Verdana"/>
          <w:b/>
          <w:bCs/>
          <w:i/>
          <w:iCs/>
          <w:sz w:val="20"/>
          <w:szCs w:val="20"/>
        </w:rPr>
        <w:lastRenderedPageBreak/>
        <w:t>Are detailed budgets necessary for the development of modules at time of application?</w:t>
      </w:r>
    </w:p>
    <w:p w:rsidR="00416685" w:rsidRPr="004441B6" w:rsidRDefault="00416685" w:rsidP="003B0802">
      <w:pPr>
        <w:pStyle w:val="NormalWeb"/>
        <w:tabs>
          <w:tab w:val="num" w:pos="540"/>
        </w:tabs>
        <w:ind w:left="540"/>
        <w:rPr>
          <w:rFonts w:ascii="Verdana" w:hAnsi="Verdana"/>
          <w:sz w:val="20"/>
          <w:szCs w:val="20"/>
        </w:rPr>
      </w:pPr>
      <w:r w:rsidRPr="004441B6">
        <w:rPr>
          <w:rFonts w:ascii="Verdana" w:hAnsi="Verdana"/>
          <w:sz w:val="20"/>
          <w:szCs w:val="20"/>
        </w:rPr>
        <w:t xml:space="preserve">This matter </w:t>
      </w:r>
      <w:proofErr w:type="gramStart"/>
      <w:r w:rsidRPr="004441B6">
        <w:rPr>
          <w:rFonts w:ascii="Verdana" w:hAnsi="Verdana"/>
          <w:sz w:val="20"/>
          <w:szCs w:val="20"/>
        </w:rPr>
        <w:t>is left</w:t>
      </w:r>
      <w:proofErr w:type="gramEnd"/>
      <w:r w:rsidRPr="004441B6">
        <w:rPr>
          <w:rFonts w:ascii="Verdana" w:hAnsi="Verdana"/>
          <w:sz w:val="20"/>
          <w:szCs w:val="20"/>
        </w:rPr>
        <w:t xml:space="preserve"> to the discretion of the applicant institution. It may be necessary for institutions to require certain budgetary detail from principal investigators for purposes of determining exclusions from the base when calculating facilities and administrative (indirect) costs. In addition, institutions may need to ensure that adequate resources </w:t>
      </w:r>
      <w:proofErr w:type="gramStart"/>
      <w:r w:rsidRPr="004441B6">
        <w:rPr>
          <w:rFonts w:ascii="Verdana" w:hAnsi="Verdana"/>
          <w:sz w:val="20"/>
          <w:szCs w:val="20"/>
        </w:rPr>
        <w:t>are being requested</w:t>
      </w:r>
      <w:proofErr w:type="gramEnd"/>
      <w:r w:rsidRPr="004441B6">
        <w:rPr>
          <w:rFonts w:ascii="Verdana" w:hAnsi="Verdana"/>
          <w:sz w:val="20"/>
          <w:szCs w:val="20"/>
        </w:rPr>
        <w:t xml:space="preserve"> for the proposed research activity. However, any budgetary details required by the institution are for its internal use only and </w:t>
      </w:r>
      <w:proofErr w:type="gramStart"/>
      <w:r w:rsidRPr="004441B6">
        <w:rPr>
          <w:rFonts w:ascii="Verdana" w:hAnsi="Verdana"/>
          <w:sz w:val="20"/>
          <w:szCs w:val="20"/>
        </w:rPr>
        <w:t>should not be submitted</w:t>
      </w:r>
      <w:proofErr w:type="gramEnd"/>
      <w:r w:rsidRPr="004441B6">
        <w:rPr>
          <w:rFonts w:ascii="Verdana" w:hAnsi="Verdana"/>
          <w:sz w:val="20"/>
          <w:szCs w:val="20"/>
        </w:rPr>
        <w:t xml:space="preserve"> in the application.</w:t>
      </w:r>
    </w:p>
    <w:p w:rsidR="00416685" w:rsidRPr="004441B6" w:rsidRDefault="00416685" w:rsidP="003B0802">
      <w:pPr>
        <w:pStyle w:val="NormalWeb"/>
        <w:numPr>
          <w:ilvl w:val="0"/>
          <w:numId w:val="22"/>
        </w:numPr>
        <w:tabs>
          <w:tab w:val="clear" w:pos="720"/>
          <w:tab w:val="num" w:pos="540"/>
        </w:tabs>
        <w:ind w:left="540" w:right="-360" w:hanging="540"/>
        <w:rPr>
          <w:rFonts w:ascii="Verdana" w:hAnsi="Verdana"/>
          <w:b/>
          <w:bCs/>
          <w:i/>
          <w:iCs/>
          <w:sz w:val="20"/>
          <w:szCs w:val="20"/>
        </w:rPr>
      </w:pPr>
      <w:bookmarkStart w:id="20" w:name="q8c"/>
      <w:bookmarkEnd w:id="20"/>
      <w:proofErr w:type="gramStart"/>
      <w:r w:rsidRPr="004441B6">
        <w:rPr>
          <w:rFonts w:ascii="Verdana" w:hAnsi="Verdana"/>
          <w:b/>
          <w:bCs/>
          <w:i/>
          <w:iCs/>
          <w:sz w:val="20"/>
          <w:szCs w:val="20"/>
        </w:rPr>
        <w:t>Must detailed categorical budgets be developed</w:t>
      </w:r>
      <w:proofErr w:type="gramEnd"/>
      <w:r w:rsidRPr="004441B6">
        <w:rPr>
          <w:rFonts w:ascii="Verdana" w:hAnsi="Verdana"/>
          <w:b/>
          <w:bCs/>
          <w:i/>
          <w:iCs/>
          <w:sz w:val="20"/>
          <w:szCs w:val="20"/>
        </w:rPr>
        <w:t xml:space="preserve"> at time of application or award to comply with Consistency Standards contained in OMB Circular A-21?</w:t>
      </w:r>
    </w:p>
    <w:p w:rsidR="00416685" w:rsidRPr="004441B6" w:rsidRDefault="00416685" w:rsidP="003B0802">
      <w:pPr>
        <w:pStyle w:val="NormalWeb"/>
        <w:tabs>
          <w:tab w:val="num" w:pos="540"/>
        </w:tabs>
        <w:ind w:left="540"/>
        <w:rPr>
          <w:rFonts w:ascii="Verdana" w:hAnsi="Verdana"/>
          <w:sz w:val="20"/>
          <w:szCs w:val="20"/>
        </w:rPr>
      </w:pPr>
      <w:r w:rsidRPr="004441B6">
        <w:rPr>
          <w:rFonts w:ascii="Verdana" w:hAnsi="Verdana"/>
          <w:sz w:val="20"/>
          <w:szCs w:val="20"/>
        </w:rPr>
        <w:t xml:space="preserve">No. OMB Circular A-21 does not proscribe the categories to </w:t>
      </w:r>
      <w:proofErr w:type="gramStart"/>
      <w:r w:rsidRPr="004441B6">
        <w:rPr>
          <w:rFonts w:ascii="Verdana" w:hAnsi="Verdana"/>
          <w:sz w:val="20"/>
          <w:szCs w:val="20"/>
        </w:rPr>
        <w:t>be used</w:t>
      </w:r>
      <w:proofErr w:type="gramEnd"/>
      <w:r w:rsidRPr="004441B6">
        <w:rPr>
          <w:rFonts w:ascii="Verdana" w:hAnsi="Verdana"/>
          <w:sz w:val="20"/>
          <w:szCs w:val="20"/>
        </w:rPr>
        <w:t xml:space="preserve"> in estimating, accumulating, or reporting costs by educational institutions. A categorical budget for purposes of the modular application </w:t>
      </w:r>
      <w:proofErr w:type="gramStart"/>
      <w:r w:rsidRPr="004441B6">
        <w:rPr>
          <w:rFonts w:ascii="Verdana" w:hAnsi="Verdana"/>
          <w:sz w:val="20"/>
          <w:szCs w:val="20"/>
        </w:rPr>
        <w:t>is defined</w:t>
      </w:r>
      <w:proofErr w:type="gramEnd"/>
      <w:r w:rsidRPr="004441B6">
        <w:rPr>
          <w:rFonts w:ascii="Verdana" w:hAnsi="Verdana"/>
          <w:sz w:val="20"/>
          <w:szCs w:val="20"/>
        </w:rPr>
        <w:t xml:space="preserve"> as a direct cost and a facilities and administration (indirect) cost. Costs are estimated (application), accumulated, and reported (Financial Status Report) on this basis. Thus, we have confirmed with the Office of Audit Resolution and Cost Policy, HHS, the Office of Grants Management, HHS, the Office of Inspector General, HHS, and the Office of Naval Research that no additional categorical detail is required to satisfy OMB Circular A-21 cost consistency standards. However, as stated in the question above, institutions may require detailed categorical budgets to meet internal institutional needs. </w:t>
      </w:r>
      <w:r w:rsidRPr="004441B6">
        <w:rPr>
          <w:rFonts w:ascii="Verdana" w:hAnsi="Verdana"/>
          <w:sz w:val="20"/>
          <w:szCs w:val="20"/>
        </w:rPr>
        <w:br/>
      </w:r>
      <w:r w:rsidRPr="004441B6">
        <w:rPr>
          <w:rFonts w:ascii="Verdana" w:hAnsi="Verdana"/>
          <w:sz w:val="20"/>
          <w:szCs w:val="20"/>
        </w:rPr>
        <w:br/>
        <w:t xml:space="preserve">Institutions </w:t>
      </w:r>
      <w:proofErr w:type="gramStart"/>
      <w:r w:rsidRPr="004441B6">
        <w:rPr>
          <w:rFonts w:ascii="Verdana" w:hAnsi="Verdana"/>
          <w:sz w:val="20"/>
          <w:szCs w:val="20"/>
        </w:rPr>
        <w:t>are reminded</w:t>
      </w:r>
      <w:proofErr w:type="gramEnd"/>
      <w:r w:rsidRPr="004441B6">
        <w:rPr>
          <w:rFonts w:ascii="Verdana" w:hAnsi="Verdana"/>
          <w:sz w:val="20"/>
          <w:szCs w:val="20"/>
        </w:rPr>
        <w:t xml:space="preserve"> that they must have a mechanism to accurately monitor and report institutional cost sharing. In addition, recipients are reminded that they must meet the standards for financial management systems in 45 CFR </w:t>
      </w:r>
      <w:proofErr w:type="gramStart"/>
      <w:r w:rsidRPr="004441B6">
        <w:rPr>
          <w:rFonts w:ascii="Verdana" w:hAnsi="Verdana"/>
          <w:sz w:val="20"/>
          <w:szCs w:val="20"/>
        </w:rPr>
        <w:t>74.21 which</w:t>
      </w:r>
      <w:proofErr w:type="gramEnd"/>
      <w:r w:rsidRPr="004441B6">
        <w:rPr>
          <w:rFonts w:ascii="Verdana" w:hAnsi="Verdana"/>
          <w:sz w:val="20"/>
          <w:szCs w:val="20"/>
        </w:rPr>
        <w:t xml:space="preserve"> require, among other things, that actual outlays must be compared with budgeted amounts for each award. Such comparison will be made </w:t>
      </w:r>
      <w:proofErr w:type="gramStart"/>
      <w:r w:rsidRPr="004441B6">
        <w:rPr>
          <w:rFonts w:ascii="Verdana" w:hAnsi="Verdana"/>
          <w:sz w:val="20"/>
          <w:szCs w:val="20"/>
        </w:rPr>
        <w:t>on the basis of</w:t>
      </w:r>
      <w:proofErr w:type="gramEnd"/>
      <w:r w:rsidRPr="004441B6">
        <w:rPr>
          <w:rFonts w:ascii="Verdana" w:hAnsi="Verdana"/>
          <w:sz w:val="20"/>
          <w:szCs w:val="20"/>
        </w:rPr>
        <w:t xml:space="preserve"> the modular application budget categories of direct and F&amp;A costs. </w:t>
      </w:r>
    </w:p>
    <w:p w:rsidR="00416685" w:rsidRPr="004441B6" w:rsidRDefault="00416685" w:rsidP="003B0802">
      <w:pPr>
        <w:pStyle w:val="NormalWeb"/>
        <w:numPr>
          <w:ilvl w:val="0"/>
          <w:numId w:val="23"/>
        </w:numPr>
        <w:tabs>
          <w:tab w:val="clear" w:pos="720"/>
          <w:tab w:val="num" w:pos="540"/>
        </w:tabs>
        <w:ind w:left="540" w:right="-360" w:hanging="540"/>
        <w:rPr>
          <w:rFonts w:ascii="Verdana" w:hAnsi="Verdana"/>
          <w:b/>
          <w:bCs/>
          <w:i/>
          <w:iCs/>
          <w:sz w:val="20"/>
          <w:szCs w:val="20"/>
        </w:rPr>
      </w:pPr>
      <w:bookmarkStart w:id="21" w:name="q9c"/>
      <w:bookmarkEnd w:id="21"/>
      <w:r w:rsidRPr="004441B6">
        <w:rPr>
          <w:rFonts w:ascii="Verdana" w:hAnsi="Verdana"/>
          <w:b/>
          <w:bCs/>
          <w:i/>
          <w:iCs/>
          <w:sz w:val="20"/>
          <w:szCs w:val="20"/>
        </w:rPr>
        <w:t xml:space="preserve">Should applicant institutions request detailed budgets from consortium participants when estimating the number of modules to </w:t>
      </w:r>
      <w:proofErr w:type="gramStart"/>
      <w:r w:rsidRPr="004441B6">
        <w:rPr>
          <w:rFonts w:ascii="Verdana" w:hAnsi="Verdana"/>
          <w:b/>
          <w:bCs/>
          <w:i/>
          <w:iCs/>
          <w:sz w:val="20"/>
          <w:szCs w:val="20"/>
        </w:rPr>
        <w:t>be requested</w:t>
      </w:r>
      <w:proofErr w:type="gramEnd"/>
      <w:r w:rsidRPr="004441B6">
        <w:rPr>
          <w:rFonts w:ascii="Verdana" w:hAnsi="Verdana"/>
          <w:b/>
          <w:bCs/>
          <w:i/>
          <w:iCs/>
          <w:sz w:val="20"/>
          <w:szCs w:val="20"/>
        </w:rPr>
        <w:t xml:space="preserve"> in the application to NIH?</w:t>
      </w:r>
    </w:p>
    <w:p w:rsidR="00416685" w:rsidRPr="004441B6" w:rsidRDefault="00416685" w:rsidP="003B0802">
      <w:pPr>
        <w:pStyle w:val="NormalWeb"/>
        <w:tabs>
          <w:tab w:val="num" w:pos="540"/>
        </w:tabs>
        <w:ind w:left="540"/>
        <w:rPr>
          <w:rFonts w:ascii="Verdana" w:hAnsi="Verdana"/>
          <w:sz w:val="20"/>
          <w:szCs w:val="20"/>
        </w:rPr>
      </w:pPr>
      <w:r w:rsidRPr="004441B6">
        <w:rPr>
          <w:rFonts w:ascii="Verdana" w:hAnsi="Verdana"/>
          <w:sz w:val="20"/>
          <w:szCs w:val="20"/>
        </w:rPr>
        <w:t>Institutions must be able to reasonably estimate the total (direct and facilities and administrative) cost of the consortium arrangement to the nearest $1,000. Applicant institutions may request from the consortium participants whatever information is necessary for making this estimate.</w:t>
      </w:r>
    </w:p>
    <w:p w:rsidR="00416685" w:rsidRPr="004441B6" w:rsidRDefault="00416685" w:rsidP="003B0802">
      <w:pPr>
        <w:pStyle w:val="NormalWeb"/>
        <w:numPr>
          <w:ilvl w:val="0"/>
          <w:numId w:val="24"/>
        </w:numPr>
        <w:tabs>
          <w:tab w:val="clear" w:pos="720"/>
          <w:tab w:val="num" w:pos="540"/>
        </w:tabs>
        <w:ind w:left="540" w:right="-360" w:hanging="540"/>
        <w:rPr>
          <w:rFonts w:ascii="Verdana" w:hAnsi="Verdana"/>
          <w:b/>
          <w:bCs/>
          <w:i/>
          <w:iCs/>
          <w:sz w:val="20"/>
          <w:szCs w:val="20"/>
        </w:rPr>
      </w:pPr>
      <w:bookmarkStart w:id="22" w:name="q10c"/>
      <w:bookmarkEnd w:id="22"/>
      <w:proofErr w:type="gramStart"/>
      <w:r w:rsidRPr="004441B6">
        <w:rPr>
          <w:rFonts w:ascii="Verdana" w:hAnsi="Verdana"/>
          <w:b/>
          <w:bCs/>
          <w:i/>
          <w:iCs/>
          <w:sz w:val="20"/>
          <w:szCs w:val="20"/>
        </w:rPr>
        <w:t>If an investigator's salary exceeds the current salary cap, should the applicant use the legislatively imposed salary cap or actual institutional base salary when estimating the number of modules requested?</w:t>
      </w:r>
      <w:proofErr w:type="gramEnd"/>
    </w:p>
    <w:p w:rsidR="00416685" w:rsidRDefault="00416685" w:rsidP="003B0802">
      <w:pPr>
        <w:pStyle w:val="NormalWeb"/>
        <w:tabs>
          <w:tab w:val="num" w:pos="540"/>
        </w:tabs>
        <w:ind w:left="540"/>
        <w:rPr>
          <w:rFonts w:ascii="Verdana" w:hAnsi="Verdana"/>
          <w:sz w:val="20"/>
          <w:szCs w:val="20"/>
        </w:rPr>
      </w:pPr>
      <w:r w:rsidRPr="004441B6">
        <w:rPr>
          <w:rFonts w:ascii="Verdana" w:hAnsi="Verdana"/>
          <w:sz w:val="20"/>
          <w:szCs w:val="20"/>
        </w:rPr>
        <w:t>Since the modules should be a reasonable estimate of costs allowable, allocable, and reasonable for the proposed project, applicants must use the current salary cap when estimating the number of modules. With the significant rebudgeting flexibility and the ability to carry forward unobligated balances, funds generally should be available to cover any modest increase in the legislatively imposed salary cap.</w:t>
      </w:r>
    </w:p>
    <w:p w:rsidR="003B0802" w:rsidRPr="004441B6" w:rsidRDefault="003B0802" w:rsidP="003B0802">
      <w:pPr>
        <w:pStyle w:val="NormalWeb"/>
        <w:tabs>
          <w:tab w:val="num" w:pos="540"/>
        </w:tabs>
        <w:ind w:left="540"/>
        <w:rPr>
          <w:rFonts w:ascii="Verdana" w:hAnsi="Verdana"/>
          <w:sz w:val="20"/>
          <w:szCs w:val="20"/>
        </w:rPr>
      </w:pPr>
    </w:p>
    <w:p w:rsidR="00416685" w:rsidRPr="004441B6" w:rsidRDefault="00416685" w:rsidP="003B0802">
      <w:pPr>
        <w:pStyle w:val="NormalWeb"/>
        <w:numPr>
          <w:ilvl w:val="0"/>
          <w:numId w:val="25"/>
        </w:numPr>
        <w:tabs>
          <w:tab w:val="clear" w:pos="720"/>
          <w:tab w:val="num" w:pos="540"/>
        </w:tabs>
        <w:ind w:left="540" w:right="-360" w:hanging="540"/>
        <w:rPr>
          <w:rFonts w:ascii="Verdana" w:hAnsi="Verdana"/>
          <w:b/>
          <w:bCs/>
          <w:i/>
          <w:iCs/>
          <w:sz w:val="20"/>
          <w:szCs w:val="20"/>
        </w:rPr>
      </w:pPr>
      <w:bookmarkStart w:id="23" w:name="q11c"/>
      <w:bookmarkEnd w:id="23"/>
      <w:r w:rsidRPr="004441B6">
        <w:rPr>
          <w:rFonts w:ascii="Verdana" w:hAnsi="Verdana"/>
          <w:b/>
          <w:bCs/>
          <w:i/>
          <w:iCs/>
          <w:sz w:val="20"/>
          <w:szCs w:val="20"/>
        </w:rPr>
        <w:lastRenderedPageBreak/>
        <w:t>How do we request funds for general administrative and clerical support?</w:t>
      </w:r>
    </w:p>
    <w:p w:rsidR="00416685" w:rsidRPr="004441B6" w:rsidRDefault="00416685" w:rsidP="003B0802">
      <w:pPr>
        <w:pStyle w:val="NormalWeb"/>
        <w:tabs>
          <w:tab w:val="num" w:pos="540"/>
        </w:tabs>
        <w:ind w:left="540"/>
        <w:rPr>
          <w:rFonts w:ascii="Verdana" w:hAnsi="Verdana"/>
          <w:sz w:val="20"/>
          <w:szCs w:val="20"/>
        </w:rPr>
      </w:pPr>
      <w:r w:rsidRPr="004441B6">
        <w:rPr>
          <w:rFonts w:ascii="Verdana" w:hAnsi="Verdana"/>
          <w:sz w:val="20"/>
          <w:szCs w:val="20"/>
        </w:rPr>
        <w:t xml:space="preserve">The NIH GUIDE, Volume 23, Number 34, </w:t>
      </w:r>
      <w:smartTag w:uri="urn:schemas-microsoft-com:office:smarttags" w:element="date">
        <w:smartTagPr>
          <w:attr w:name="Year" w:val="1994"/>
          <w:attr w:name="Day" w:val="23"/>
          <w:attr w:name="Month" w:val="9"/>
        </w:smartTagPr>
        <w:r w:rsidRPr="004441B6">
          <w:rPr>
            <w:rFonts w:ascii="Verdana" w:hAnsi="Verdana"/>
            <w:sz w:val="20"/>
            <w:szCs w:val="20"/>
          </w:rPr>
          <w:t>September 23, 1994</w:t>
        </w:r>
      </w:smartTag>
      <w:r w:rsidRPr="004441B6">
        <w:rPr>
          <w:rFonts w:ascii="Verdana" w:hAnsi="Verdana"/>
          <w:sz w:val="20"/>
          <w:szCs w:val="20"/>
        </w:rPr>
        <w:t xml:space="preserve"> discussed the treatment of administrative and clerical salaries. If you plan to use grant funds to pay for clerical salaries and/or other administrative costs that </w:t>
      </w:r>
      <w:proofErr w:type="gramStart"/>
      <w:r w:rsidRPr="004441B6">
        <w:rPr>
          <w:rFonts w:ascii="Verdana" w:hAnsi="Verdana"/>
          <w:sz w:val="20"/>
          <w:szCs w:val="20"/>
        </w:rPr>
        <w:t>are covered</w:t>
      </w:r>
      <w:proofErr w:type="gramEnd"/>
      <w:r w:rsidRPr="004441B6">
        <w:rPr>
          <w:rFonts w:ascii="Verdana" w:hAnsi="Verdana"/>
          <w:sz w:val="20"/>
          <w:szCs w:val="20"/>
        </w:rPr>
        <w:t xml:space="preserve"> in the examples provided, you will not need NIH approval to charge those costs to the project. NIH has already determined these are acceptable direct costs charges. If you wish to charge those costs to an NIH supported project and they are not one of the examples provided in the NIH GUIDE, you will need to contact NIH prior to obligating grant funds to ensure the costs are allocable as a direct cost to the project. </w:t>
      </w:r>
    </w:p>
    <w:p w:rsidR="00416685" w:rsidRPr="004441B6" w:rsidRDefault="00416685" w:rsidP="003B0802">
      <w:pPr>
        <w:pStyle w:val="NormalWeb"/>
        <w:numPr>
          <w:ilvl w:val="0"/>
          <w:numId w:val="26"/>
        </w:numPr>
        <w:tabs>
          <w:tab w:val="clear" w:pos="720"/>
          <w:tab w:val="num" w:pos="540"/>
        </w:tabs>
        <w:ind w:left="540" w:right="-360" w:hanging="540"/>
        <w:rPr>
          <w:rFonts w:ascii="Verdana" w:hAnsi="Verdana"/>
          <w:b/>
          <w:bCs/>
          <w:i/>
          <w:iCs/>
          <w:sz w:val="20"/>
          <w:szCs w:val="20"/>
        </w:rPr>
      </w:pPr>
      <w:bookmarkStart w:id="24" w:name="q12c"/>
      <w:bookmarkEnd w:id="24"/>
      <w:r w:rsidRPr="004441B6">
        <w:rPr>
          <w:rFonts w:ascii="Verdana" w:hAnsi="Verdana"/>
          <w:b/>
          <w:bCs/>
          <w:i/>
          <w:iCs/>
          <w:sz w:val="20"/>
          <w:szCs w:val="20"/>
        </w:rPr>
        <w:t>How should we reflect individuals who do not have 12-month appointments, i.e., academic year and summer period?</w:t>
      </w:r>
    </w:p>
    <w:p w:rsidR="00416685" w:rsidRPr="004441B6" w:rsidRDefault="00416685" w:rsidP="003B0802">
      <w:pPr>
        <w:pStyle w:val="NormalWeb"/>
        <w:tabs>
          <w:tab w:val="num" w:pos="540"/>
        </w:tabs>
        <w:ind w:left="540"/>
        <w:rPr>
          <w:rFonts w:ascii="Verdana" w:hAnsi="Verdana"/>
          <w:sz w:val="20"/>
          <w:szCs w:val="20"/>
        </w:rPr>
      </w:pPr>
      <w:r w:rsidRPr="004441B6">
        <w:rPr>
          <w:rFonts w:ascii="Verdana" w:hAnsi="Verdana"/>
          <w:sz w:val="20"/>
          <w:szCs w:val="20"/>
        </w:rPr>
        <w:t xml:space="preserve">The academic year effort and the summer period effort </w:t>
      </w:r>
      <w:proofErr w:type="gramStart"/>
      <w:r w:rsidRPr="004441B6">
        <w:rPr>
          <w:rFonts w:ascii="Verdana" w:hAnsi="Verdana"/>
          <w:sz w:val="20"/>
          <w:szCs w:val="20"/>
        </w:rPr>
        <w:t>should be shown</w:t>
      </w:r>
      <w:proofErr w:type="gramEnd"/>
      <w:r w:rsidRPr="004441B6">
        <w:rPr>
          <w:rFonts w:ascii="Verdana" w:hAnsi="Verdana"/>
          <w:sz w:val="20"/>
          <w:szCs w:val="20"/>
        </w:rPr>
        <w:t xml:space="preserve"> separately.</w:t>
      </w:r>
      <w:r w:rsidRPr="004441B6">
        <w:rPr>
          <w:rFonts w:ascii="Verdana" w:hAnsi="Verdana"/>
          <w:sz w:val="20"/>
          <w:szCs w:val="20"/>
        </w:rPr>
        <w:br/>
      </w:r>
      <w:r w:rsidRPr="004441B6">
        <w:rPr>
          <w:rFonts w:ascii="Verdana" w:hAnsi="Verdana"/>
          <w:sz w:val="20"/>
          <w:szCs w:val="20"/>
        </w:rPr>
        <w:br/>
        <w:t xml:space="preserve">Example:  Mary Jones, Ph.D.  25% (academic year), 100% (summer period) </w:t>
      </w:r>
    </w:p>
    <w:p w:rsidR="00416685" w:rsidRPr="004441B6" w:rsidRDefault="00416685" w:rsidP="003B0802">
      <w:pPr>
        <w:pStyle w:val="NormalWeb"/>
        <w:numPr>
          <w:ilvl w:val="0"/>
          <w:numId w:val="27"/>
        </w:numPr>
        <w:tabs>
          <w:tab w:val="clear" w:pos="720"/>
          <w:tab w:val="num" w:pos="540"/>
        </w:tabs>
        <w:ind w:left="540" w:right="-360" w:hanging="540"/>
        <w:rPr>
          <w:rFonts w:ascii="Verdana" w:hAnsi="Verdana"/>
          <w:b/>
          <w:bCs/>
          <w:i/>
          <w:iCs/>
          <w:sz w:val="20"/>
          <w:szCs w:val="20"/>
        </w:rPr>
      </w:pPr>
      <w:bookmarkStart w:id="25" w:name="q13c"/>
      <w:bookmarkEnd w:id="25"/>
      <w:r w:rsidRPr="004441B6">
        <w:rPr>
          <w:rFonts w:ascii="Verdana" w:hAnsi="Verdana"/>
          <w:b/>
          <w:bCs/>
          <w:i/>
          <w:iCs/>
          <w:sz w:val="20"/>
          <w:szCs w:val="20"/>
        </w:rPr>
        <w:t xml:space="preserve">How should we reflect the level of effort for individuals who </w:t>
      </w:r>
      <w:proofErr w:type="gramStart"/>
      <w:r w:rsidRPr="004441B6">
        <w:rPr>
          <w:rFonts w:ascii="Verdana" w:hAnsi="Verdana"/>
          <w:b/>
          <w:bCs/>
          <w:i/>
          <w:iCs/>
          <w:sz w:val="20"/>
          <w:szCs w:val="20"/>
        </w:rPr>
        <w:t>are not employed</w:t>
      </w:r>
      <w:proofErr w:type="gramEnd"/>
      <w:r w:rsidRPr="004441B6">
        <w:rPr>
          <w:rFonts w:ascii="Verdana" w:hAnsi="Verdana"/>
          <w:b/>
          <w:bCs/>
          <w:i/>
          <w:iCs/>
          <w:sz w:val="20"/>
          <w:szCs w:val="20"/>
        </w:rPr>
        <w:t xml:space="preserve"> full-time at the applicant organization?</w:t>
      </w:r>
    </w:p>
    <w:p w:rsidR="00416685" w:rsidRPr="004441B6" w:rsidRDefault="00416685" w:rsidP="003B0802">
      <w:pPr>
        <w:pStyle w:val="NormalWeb"/>
        <w:tabs>
          <w:tab w:val="num" w:pos="540"/>
        </w:tabs>
        <w:ind w:left="540"/>
        <w:rPr>
          <w:rFonts w:ascii="Verdana" w:hAnsi="Verdana"/>
          <w:sz w:val="20"/>
          <w:szCs w:val="20"/>
        </w:rPr>
      </w:pPr>
      <w:r w:rsidRPr="004441B6">
        <w:rPr>
          <w:rFonts w:ascii="Verdana" w:hAnsi="Verdana"/>
          <w:sz w:val="20"/>
          <w:szCs w:val="20"/>
        </w:rPr>
        <w:t>Follow the current 398 instructions, i.e., show the individual's percent of effort at the applicant institution and indicate if the institutional appointment is less than full-time. Be sure to list all current employment responsibilities for the individual on the Biographical Sketch page.</w:t>
      </w:r>
    </w:p>
    <w:p w:rsidR="00416685" w:rsidRPr="004441B6" w:rsidRDefault="003B0802" w:rsidP="003B0802">
      <w:pPr>
        <w:pStyle w:val="NormalWeb"/>
        <w:tabs>
          <w:tab w:val="num" w:pos="540"/>
        </w:tabs>
        <w:ind w:left="540" w:right="-360" w:hanging="540"/>
        <w:jc w:val="center"/>
        <w:rPr>
          <w:rFonts w:ascii="Verdana" w:hAnsi="Verdana"/>
          <w:sz w:val="20"/>
          <w:szCs w:val="20"/>
        </w:rPr>
      </w:pPr>
      <w:r>
        <w:rPr>
          <w:rFonts w:ascii="Verdana" w:hAnsi="Verdana"/>
          <w:sz w:val="20"/>
          <w:szCs w:val="20"/>
        </w:rPr>
        <w:br w:type="page"/>
      </w:r>
    </w:p>
    <w:p w:rsidR="00416685" w:rsidRPr="004441B6" w:rsidRDefault="00416685" w:rsidP="003B0802">
      <w:pPr>
        <w:tabs>
          <w:tab w:val="num" w:pos="540"/>
        </w:tabs>
        <w:ind w:left="540" w:right="-360" w:hanging="540"/>
        <w:rPr>
          <w:rFonts w:ascii="Verdana" w:hAnsi="Verdana" w:cs="Arial"/>
          <w:sz w:val="20"/>
          <w:szCs w:val="20"/>
        </w:rPr>
      </w:pPr>
      <w:r w:rsidRPr="004441B6">
        <w:rPr>
          <w:rFonts w:ascii="Verdana" w:hAnsi="Verdana" w:cs="Arial"/>
          <w:sz w:val="20"/>
          <w:szCs w:val="20"/>
        </w:rPr>
        <w:pict>
          <v:rect id="_x0000_i1030" style="width:0;height:3pt" o:hralign="center" o:hrstd="t" o:hr="t" fillcolor="#aca899" stroked="f"/>
        </w:pict>
      </w:r>
    </w:p>
    <w:p w:rsidR="00416685" w:rsidRPr="004441B6" w:rsidRDefault="00416685" w:rsidP="003B0802">
      <w:pPr>
        <w:pStyle w:val="Heading3"/>
        <w:tabs>
          <w:tab w:val="num" w:pos="540"/>
        </w:tabs>
        <w:ind w:left="540" w:right="-360" w:hanging="540"/>
        <w:rPr>
          <w:rFonts w:ascii="Verdana" w:hAnsi="Verdana"/>
          <w:sz w:val="20"/>
          <w:szCs w:val="20"/>
        </w:rPr>
      </w:pPr>
      <w:bookmarkStart w:id="26" w:name="q1d"/>
      <w:bookmarkEnd w:id="26"/>
      <w:r w:rsidRPr="004441B6">
        <w:rPr>
          <w:rFonts w:ascii="Verdana" w:hAnsi="Verdana"/>
          <w:sz w:val="20"/>
          <w:szCs w:val="20"/>
        </w:rPr>
        <w:t>POST-AWARD ISSUES</w:t>
      </w:r>
    </w:p>
    <w:p w:rsidR="00416685" w:rsidRPr="004441B6" w:rsidRDefault="00416685" w:rsidP="003B0802">
      <w:pPr>
        <w:tabs>
          <w:tab w:val="num" w:pos="540"/>
        </w:tabs>
        <w:ind w:left="540" w:right="-360" w:hanging="540"/>
        <w:rPr>
          <w:rFonts w:ascii="Verdana" w:hAnsi="Verdana" w:cs="Arial"/>
          <w:sz w:val="20"/>
          <w:szCs w:val="20"/>
        </w:rPr>
      </w:pPr>
      <w:r w:rsidRPr="004441B6">
        <w:rPr>
          <w:rFonts w:ascii="Verdana" w:hAnsi="Verdana" w:cs="Arial"/>
          <w:sz w:val="20"/>
          <w:szCs w:val="20"/>
        </w:rPr>
        <w:pict>
          <v:rect id="_x0000_i1031" style="width:0;height:1.5pt" o:hralign="center" o:hrstd="t" o:hr="t" fillcolor="#aca899" stroked="f"/>
        </w:pict>
      </w:r>
    </w:p>
    <w:p w:rsidR="00416685" w:rsidRPr="004441B6" w:rsidRDefault="00416685" w:rsidP="003B0802">
      <w:pPr>
        <w:pStyle w:val="NormalWeb"/>
        <w:numPr>
          <w:ilvl w:val="0"/>
          <w:numId w:val="28"/>
        </w:numPr>
        <w:tabs>
          <w:tab w:val="clear" w:pos="720"/>
          <w:tab w:val="num" w:pos="540"/>
        </w:tabs>
        <w:ind w:left="540" w:right="-360" w:hanging="540"/>
        <w:rPr>
          <w:rFonts w:ascii="Verdana" w:hAnsi="Verdana"/>
          <w:b/>
          <w:bCs/>
          <w:i/>
          <w:iCs/>
          <w:sz w:val="20"/>
          <w:szCs w:val="20"/>
        </w:rPr>
      </w:pPr>
      <w:r w:rsidRPr="004441B6">
        <w:rPr>
          <w:rFonts w:ascii="Verdana" w:hAnsi="Verdana"/>
          <w:b/>
          <w:bCs/>
          <w:i/>
          <w:iCs/>
          <w:sz w:val="20"/>
          <w:szCs w:val="20"/>
        </w:rPr>
        <w:t xml:space="preserve">Will the NIH policy on carryover of unobligated balances apply to Modular Grant applications that </w:t>
      </w:r>
      <w:proofErr w:type="gramStart"/>
      <w:r w:rsidRPr="004441B6">
        <w:rPr>
          <w:rFonts w:ascii="Verdana" w:hAnsi="Verdana"/>
          <w:b/>
          <w:bCs/>
          <w:i/>
          <w:iCs/>
          <w:sz w:val="20"/>
          <w:szCs w:val="20"/>
        </w:rPr>
        <w:t>are awarded</w:t>
      </w:r>
      <w:proofErr w:type="gramEnd"/>
      <w:r w:rsidRPr="004441B6">
        <w:rPr>
          <w:rFonts w:ascii="Verdana" w:hAnsi="Verdana"/>
          <w:b/>
          <w:bCs/>
          <w:i/>
          <w:iCs/>
          <w:sz w:val="20"/>
          <w:szCs w:val="20"/>
        </w:rPr>
        <w:t>?</w:t>
      </w:r>
    </w:p>
    <w:p w:rsidR="00416685" w:rsidRPr="004441B6" w:rsidRDefault="00416685" w:rsidP="003B0802">
      <w:pPr>
        <w:pStyle w:val="NormalWeb"/>
        <w:tabs>
          <w:tab w:val="num" w:pos="540"/>
        </w:tabs>
        <w:ind w:left="540"/>
        <w:rPr>
          <w:rFonts w:ascii="Verdana" w:hAnsi="Verdana"/>
          <w:sz w:val="20"/>
          <w:szCs w:val="20"/>
        </w:rPr>
      </w:pPr>
      <w:r w:rsidRPr="004441B6">
        <w:rPr>
          <w:rFonts w:ascii="Verdana" w:hAnsi="Verdana"/>
          <w:sz w:val="20"/>
          <w:szCs w:val="20"/>
        </w:rPr>
        <w:t>There will be no change in the NIH policy on carryover of unobligated balances for these awards.</w:t>
      </w:r>
    </w:p>
    <w:p w:rsidR="00416685" w:rsidRPr="004441B6" w:rsidRDefault="00416685" w:rsidP="003B0802">
      <w:pPr>
        <w:pStyle w:val="NormalWeb"/>
        <w:numPr>
          <w:ilvl w:val="0"/>
          <w:numId w:val="29"/>
        </w:numPr>
        <w:tabs>
          <w:tab w:val="clear" w:pos="720"/>
          <w:tab w:val="num" w:pos="540"/>
        </w:tabs>
        <w:ind w:left="540" w:right="-360" w:hanging="540"/>
        <w:rPr>
          <w:rFonts w:ascii="Verdana" w:hAnsi="Verdana"/>
          <w:b/>
          <w:bCs/>
          <w:i/>
          <w:iCs/>
          <w:sz w:val="20"/>
          <w:szCs w:val="20"/>
        </w:rPr>
      </w:pPr>
      <w:bookmarkStart w:id="27" w:name="q2d"/>
      <w:bookmarkEnd w:id="27"/>
      <w:r w:rsidRPr="004441B6">
        <w:rPr>
          <w:rFonts w:ascii="Verdana" w:hAnsi="Verdana"/>
          <w:b/>
          <w:bCs/>
          <w:i/>
          <w:iCs/>
          <w:sz w:val="20"/>
          <w:szCs w:val="20"/>
        </w:rPr>
        <w:t>Will the 25% rebudgeting rule remain in effect with Modular Grants?</w:t>
      </w:r>
    </w:p>
    <w:p w:rsidR="00416685" w:rsidRPr="004441B6" w:rsidRDefault="00416685" w:rsidP="003B0802">
      <w:pPr>
        <w:pStyle w:val="NormalWeb"/>
        <w:tabs>
          <w:tab w:val="num" w:pos="540"/>
        </w:tabs>
        <w:ind w:left="540"/>
        <w:rPr>
          <w:rFonts w:ascii="Verdana" w:hAnsi="Verdana"/>
          <w:sz w:val="20"/>
          <w:szCs w:val="20"/>
        </w:rPr>
      </w:pPr>
      <w:r w:rsidRPr="004441B6">
        <w:rPr>
          <w:rFonts w:ascii="Verdana" w:hAnsi="Verdana"/>
          <w:sz w:val="20"/>
          <w:szCs w:val="20"/>
        </w:rPr>
        <w:t xml:space="preserve">Currently, a grantee may not rebudget more than 25% of the total funds awarded in any </w:t>
      </w:r>
      <w:proofErr w:type="gramStart"/>
      <w:r w:rsidRPr="004441B6">
        <w:rPr>
          <w:rFonts w:ascii="Verdana" w:hAnsi="Verdana"/>
          <w:sz w:val="20"/>
          <w:szCs w:val="20"/>
        </w:rPr>
        <w:t>one budget</w:t>
      </w:r>
      <w:proofErr w:type="gramEnd"/>
      <w:r w:rsidRPr="004441B6">
        <w:rPr>
          <w:rFonts w:ascii="Verdana" w:hAnsi="Verdana"/>
          <w:sz w:val="20"/>
          <w:szCs w:val="20"/>
        </w:rPr>
        <w:t xml:space="preserve"> category without NIH approval. Under the Modular Grant application process, notification of significant rebudgeting is no longer required.</w:t>
      </w:r>
    </w:p>
    <w:p w:rsidR="00416685" w:rsidRPr="004441B6" w:rsidRDefault="00416685" w:rsidP="003B0802">
      <w:pPr>
        <w:pStyle w:val="NormalWeb"/>
        <w:numPr>
          <w:ilvl w:val="0"/>
          <w:numId w:val="30"/>
        </w:numPr>
        <w:tabs>
          <w:tab w:val="clear" w:pos="720"/>
          <w:tab w:val="num" w:pos="540"/>
        </w:tabs>
        <w:ind w:left="540" w:right="-360" w:hanging="540"/>
        <w:rPr>
          <w:rFonts w:ascii="Verdana" w:hAnsi="Verdana"/>
          <w:b/>
          <w:bCs/>
          <w:i/>
          <w:iCs/>
          <w:sz w:val="20"/>
          <w:szCs w:val="20"/>
        </w:rPr>
      </w:pPr>
      <w:bookmarkStart w:id="28" w:name="q3d"/>
      <w:bookmarkEnd w:id="28"/>
      <w:r w:rsidRPr="004441B6">
        <w:rPr>
          <w:rFonts w:ascii="Verdana" w:hAnsi="Verdana"/>
          <w:b/>
          <w:bCs/>
          <w:i/>
          <w:iCs/>
          <w:sz w:val="20"/>
          <w:szCs w:val="20"/>
        </w:rPr>
        <w:t>Upon receipt of the award, are recipient institutions required to establish categorical budgets?</w:t>
      </w:r>
    </w:p>
    <w:p w:rsidR="00416685" w:rsidRPr="004441B6" w:rsidRDefault="00416685" w:rsidP="003B0802">
      <w:pPr>
        <w:pStyle w:val="NormalWeb"/>
        <w:tabs>
          <w:tab w:val="num" w:pos="540"/>
        </w:tabs>
        <w:ind w:left="540"/>
        <w:rPr>
          <w:rFonts w:ascii="Verdana" w:hAnsi="Verdana"/>
          <w:sz w:val="20"/>
          <w:szCs w:val="20"/>
        </w:rPr>
      </w:pPr>
      <w:r w:rsidRPr="004441B6">
        <w:rPr>
          <w:rFonts w:ascii="Verdana" w:hAnsi="Verdana"/>
          <w:sz w:val="20"/>
          <w:szCs w:val="20"/>
        </w:rPr>
        <w:t xml:space="preserve">Under the previous modular grant pilots, institutions were required to establish a categorical budget upon receipt of the award. With the full-scale implementation of modular grants, this will no longer be a requirement. Institutions will have discretion in determining the need to establish categorical budgets once the NIH award </w:t>
      </w:r>
      <w:proofErr w:type="gramStart"/>
      <w:r w:rsidRPr="004441B6">
        <w:rPr>
          <w:rFonts w:ascii="Verdana" w:hAnsi="Verdana"/>
          <w:sz w:val="20"/>
          <w:szCs w:val="20"/>
        </w:rPr>
        <w:t>is received</w:t>
      </w:r>
      <w:proofErr w:type="gramEnd"/>
      <w:r w:rsidRPr="004441B6">
        <w:rPr>
          <w:rFonts w:ascii="Verdana" w:hAnsi="Verdana"/>
          <w:sz w:val="20"/>
          <w:szCs w:val="20"/>
        </w:rPr>
        <w:t>. However, recipient institutions are still required to ensure that all costs charged to modular awards are in accordance with applicable costs principles, the NIH Grants Policy statement, and legislatively imposed restrictions.</w:t>
      </w:r>
    </w:p>
    <w:p w:rsidR="00416685" w:rsidRPr="004441B6" w:rsidRDefault="00416685" w:rsidP="003B0802">
      <w:pPr>
        <w:pStyle w:val="NormalWeb"/>
        <w:tabs>
          <w:tab w:val="num" w:pos="540"/>
        </w:tabs>
        <w:ind w:left="540" w:right="-360" w:hanging="540"/>
        <w:jc w:val="center"/>
        <w:rPr>
          <w:rFonts w:ascii="Verdana" w:hAnsi="Verdana"/>
          <w:sz w:val="20"/>
          <w:szCs w:val="20"/>
        </w:rPr>
      </w:pPr>
    </w:p>
    <w:p w:rsidR="00416685" w:rsidRPr="004441B6" w:rsidRDefault="00416685" w:rsidP="003B0802">
      <w:pPr>
        <w:tabs>
          <w:tab w:val="num" w:pos="540"/>
        </w:tabs>
        <w:ind w:left="540" w:right="-360" w:hanging="540"/>
        <w:rPr>
          <w:rFonts w:ascii="Verdana" w:hAnsi="Verdana" w:cs="Arial"/>
          <w:sz w:val="20"/>
          <w:szCs w:val="20"/>
        </w:rPr>
      </w:pPr>
    </w:p>
    <w:p w:rsidR="002D12B7" w:rsidRPr="004441B6" w:rsidRDefault="002D12B7" w:rsidP="003B0802">
      <w:pPr>
        <w:tabs>
          <w:tab w:val="num" w:pos="540"/>
        </w:tabs>
        <w:ind w:left="540" w:hanging="540"/>
        <w:rPr>
          <w:rFonts w:ascii="Verdana" w:hAnsi="Verdana"/>
          <w:sz w:val="20"/>
          <w:szCs w:val="20"/>
        </w:rPr>
      </w:pPr>
      <w:bookmarkStart w:id="29" w:name="q1e"/>
      <w:bookmarkEnd w:id="29"/>
    </w:p>
    <w:sectPr w:rsidR="002D12B7" w:rsidRPr="004441B6" w:rsidSect="002D12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39B" w:rsidRDefault="00C5039B">
      <w:r>
        <w:separator/>
      </w:r>
    </w:p>
  </w:endnote>
  <w:endnote w:type="continuationSeparator" w:id="0">
    <w:p w:rsidR="00C5039B" w:rsidRDefault="00C5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B7B" w:rsidRPr="002733B6" w:rsidRDefault="005A1B7B" w:rsidP="002733B6">
    <w:pPr>
      <w:pStyle w:val="Footer"/>
      <w:tabs>
        <w:tab w:val="clear" w:pos="8640"/>
        <w:tab w:val="right" w:pos="9180"/>
      </w:tabs>
      <w:rPr>
        <w:rFonts w:ascii="Verdana" w:hAnsi="Verdana"/>
        <w:sz w:val="16"/>
        <w:szCs w:val="16"/>
      </w:rPr>
    </w:pPr>
    <w:r w:rsidRPr="002733B6">
      <w:rPr>
        <w:rFonts w:ascii="Verdana" w:hAnsi="Verdana"/>
        <w:sz w:val="16"/>
        <w:szCs w:val="16"/>
      </w:rPr>
      <w:fldChar w:fldCharType="begin"/>
    </w:r>
    <w:r w:rsidRPr="002733B6">
      <w:rPr>
        <w:rFonts w:ascii="Verdana" w:hAnsi="Verdana"/>
        <w:sz w:val="16"/>
        <w:szCs w:val="16"/>
      </w:rPr>
      <w:instrText xml:space="preserve"> FILENAME \p </w:instrText>
    </w:r>
    <w:r w:rsidRPr="002733B6">
      <w:rPr>
        <w:rFonts w:ascii="Verdana" w:hAnsi="Verdana"/>
        <w:sz w:val="16"/>
        <w:szCs w:val="16"/>
      </w:rPr>
      <w:fldChar w:fldCharType="separate"/>
    </w:r>
    <w:r w:rsidRPr="002733B6">
      <w:rPr>
        <w:rFonts w:ascii="Verdana" w:hAnsi="Verdana"/>
        <w:noProof/>
        <w:sz w:val="16"/>
        <w:szCs w:val="16"/>
      </w:rPr>
      <w:t>G:\customer resource materials\modular grants.doc</w:t>
    </w:r>
    <w:r w:rsidRPr="002733B6">
      <w:rPr>
        <w:rFonts w:ascii="Verdana" w:hAnsi="Verdana"/>
        <w:sz w:val="16"/>
        <w:szCs w:val="16"/>
      </w:rPr>
      <w:fldChar w:fldCharType="end"/>
    </w:r>
    <w:r w:rsidRPr="002733B6">
      <w:rPr>
        <w:rFonts w:ascii="Verdana" w:hAnsi="Verdana"/>
        <w:sz w:val="16"/>
        <w:szCs w:val="16"/>
      </w:rPr>
      <w:tab/>
      <w:t xml:space="preserve">Revised </w:t>
    </w:r>
    <w:r>
      <w:rPr>
        <w:rFonts w:ascii="Verdana" w:hAnsi="Verdana"/>
        <w:sz w:val="16"/>
        <w:szCs w:val="16"/>
      </w:rPr>
      <w:tab/>
    </w:r>
    <w:smartTag w:uri="urn:schemas-microsoft-com:office:smarttags" w:element="date">
      <w:smartTagPr>
        <w:attr w:name="Year" w:val="2003"/>
        <w:attr w:name="Day" w:val="10"/>
        <w:attr w:name="Month" w:val="12"/>
      </w:smartTagPr>
      <w:r w:rsidRPr="002733B6">
        <w:rPr>
          <w:rFonts w:ascii="Verdana" w:hAnsi="Verdana"/>
          <w:sz w:val="16"/>
          <w:szCs w:val="16"/>
        </w:rPr>
        <w:t>12/10/03</w:t>
      </w:r>
    </w:smartTag>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39B" w:rsidRDefault="00C5039B">
      <w:r>
        <w:separator/>
      </w:r>
    </w:p>
  </w:footnote>
  <w:footnote w:type="continuationSeparator" w:id="0">
    <w:p w:rsidR="00C5039B" w:rsidRDefault="00C50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252" w:rsidRPr="00E64252" w:rsidRDefault="00E64252">
    <w:pPr>
      <w:pStyle w:val="Header"/>
      <w:rPr>
        <w:rFonts w:ascii="Verdana" w:hAnsi="Verdana"/>
        <w:sz w:val="20"/>
        <w:szCs w:val="20"/>
      </w:rPr>
    </w:pPr>
    <w:r w:rsidRPr="00E64252">
      <w:rPr>
        <w:rFonts w:ascii="Verdana" w:hAnsi="Verdana"/>
        <w:sz w:val="20"/>
        <w:szCs w:val="20"/>
      </w:rPr>
      <w:t>Downloaded from NIH website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0921"/>
    <w:multiLevelType w:val="multilevel"/>
    <w:tmpl w:val="B66824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C140C"/>
    <w:multiLevelType w:val="multilevel"/>
    <w:tmpl w:val="AEE2AB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67875"/>
    <w:multiLevelType w:val="multilevel"/>
    <w:tmpl w:val="E8D25E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E4496"/>
    <w:multiLevelType w:val="multilevel"/>
    <w:tmpl w:val="E7066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6771F"/>
    <w:multiLevelType w:val="multilevel"/>
    <w:tmpl w:val="89AE7C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40501"/>
    <w:multiLevelType w:val="multilevel"/>
    <w:tmpl w:val="42F0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92749E"/>
    <w:multiLevelType w:val="multilevel"/>
    <w:tmpl w:val="35A8D3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AC756C"/>
    <w:multiLevelType w:val="multilevel"/>
    <w:tmpl w:val="0B10E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785009"/>
    <w:multiLevelType w:val="multilevel"/>
    <w:tmpl w:val="575CF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E21675"/>
    <w:multiLevelType w:val="multilevel"/>
    <w:tmpl w:val="80FA54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D92D50"/>
    <w:multiLevelType w:val="multilevel"/>
    <w:tmpl w:val="01A8D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2A6668"/>
    <w:multiLevelType w:val="multilevel"/>
    <w:tmpl w:val="D29EB0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2A0C7E"/>
    <w:multiLevelType w:val="multilevel"/>
    <w:tmpl w:val="CD42E8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833EDA"/>
    <w:multiLevelType w:val="multilevel"/>
    <w:tmpl w:val="E6F283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A47C29"/>
    <w:multiLevelType w:val="multilevel"/>
    <w:tmpl w:val="FA44C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4B52FF"/>
    <w:multiLevelType w:val="multilevel"/>
    <w:tmpl w:val="73D88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A20DC9"/>
    <w:multiLevelType w:val="multilevel"/>
    <w:tmpl w:val="FA72AB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7810A4"/>
    <w:multiLevelType w:val="multilevel"/>
    <w:tmpl w:val="135E5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D4FBD"/>
    <w:multiLevelType w:val="multilevel"/>
    <w:tmpl w:val="6E06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2862FD"/>
    <w:multiLevelType w:val="multilevel"/>
    <w:tmpl w:val="9A02AC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F133DE"/>
    <w:multiLevelType w:val="multilevel"/>
    <w:tmpl w:val="FBE8C0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D2685C"/>
    <w:multiLevelType w:val="multilevel"/>
    <w:tmpl w:val="D7D486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824A0B"/>
    <w:multiLevelType w:val="multilevel"/>
    <w:tmpl w:val="7D56B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D8252D"/>
    <w:multiLevelType w:val="multilevel"/>
    <w:tmpl w:val="D4B6E1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3C3940"/>
    <w:multiLevelType w:val="multilevel"/>
    <w:tmpl w:val="0D56FF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C36463"/>
    <w:multiLevelType w:val="multilevel"/>
    <w:tmpl w:val="CDC233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E70401"/>
    <w:multiLevelType w:val="multilevel"/>
    <w:tmpl w:val="6DA49C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E608EF"/>
    <w:multiLevelType w:val="multilevel"/>
    <w:tmpl w:val="F3267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EB6FCA"/>
    <w:multiLevelType w:val="multilevel"/>
    <w:tmpl w:val="CD909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2F278E"/>
    <w:multiLevelType w:val="multilevel"/>
    <w:tmpl w:val="7FAC53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0811E3"/>
    <w:multiLevelType w:val="multilevel"/>
    <w:tmpl w:val="CC7C3E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7D0B81"/>
    <w:multiLevelType w:val="multilevel"/>
    <w:tmpl w:val="EB1E7D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F897DDD"/>
    <w:multiLevelType w:val="multilevel"/>
    <w:tmpl w:val="D5D6FE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0"/>
  </w:num>
  <w:num w:numId="3">
    <w:abstractNumId w:val="28"/>
  </w:num>
  <w:num w:numId="4">
    <w:abstractNumId w:val="19"/>
  </w:num>
  <w:num w:numId="5">
    <w:abstractNumId w:val="21"/>
  </w:num>
  <w:num w:numId="6">
    <w:abstractNumId w:val="4"/>
  </w:num>
  <w:num w:numId="7">
    <w:abstractNumId w:val="22"/>
  </w:num>
  <w:num w:numId="8">
    <w:abstractNumId w:val="23"/>
  </w:num>
  <w:num w:numId="9">
    <w:abstractNumId w:val="31"/>
  </w:num>
  <w:num w:numId="10">
    <w:abstractNumId w:val="27"/>
  </w:num>
  <w:num w:numId="11">
    <w:abstractNumId w:val="25"/>
  </w:num>
  <w:num w:numId="12">
    <w:abstractNumId w:val="13"/>
  </w:num>
  <w:num w:numId="13">
    <w:abstractNumId w:val="1"/>
  </w:num>
  <w:num w:numId="14">
    <w:abstractNumId w:val="8"/>
  </w:num>
  <w:num w:numId="15">
    <w:abstractNumId w:val="5"/>
  </w:num>
  <w:num w:numId="16">
    <w:abstractNumId w:val="12"/>
  </w:num>
  <w:num w:numId="17">
    <w:abstractNumId w:val="29"/>
  </w:num>
  <w:num w:numId="18">
    <w:abstractNumId w:val="15"/>
  </w:num>
  <w:num w:numId="19">
    <w:abstractNumId w:val="2"/>
  </w:num>
  <w:num w:numId="20">
    <w:abstractNumId w:val="30"/>
  </w:num>
  <w:num w:numId="21">
    <w:abstractNumId w:val="24"/>
  </w:num>
  <w:num w:numId="22">
    <w:abstractNumId w:val="16"/>
  </w:num>
  <w:num w:numId="23">
    <w:abstractNumId w:val="9"/>
  </w:num>
  <w:num w:numId="24">
    <w:abstractNumId w:val="26"/>
  </w:num>
  <w:num w:numId="25">
    <w:abstractNumId w:val="0"/>
  </w:num>
  <w:num w:numId="26">
    <w:abstractNumId w:val="32"/>
  </w:num>
  <w:num w:numId="27">
    <w:abstractNumId w:val="6"/>
  </w:num>
  <w:num w:numId="28">
    <w:abstractNumId w:val="17"/>
  </w:num>
  <w:num w:numId="29">
    <w:abstractNumId w:val="11"/>
  </w:num>
  <w:num w:numId="30">
    <w:abstractNumId w:val="20"/>
  </w:num>
  <w:num w:numId="31">
    <w:abstractNumId w:val="7"/>
  </w:num>
  <w:num w:numId="32">
    <w:abstractNumId w:val="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2B7"/>
    <w:rsid w:val="002733B6"/>
    <w:rsid w:val="002D12B7"/>
    <w:rsid w:val="0035219F"/>
    <w:rsid w:val="003B0802"/>
    <w:rsid w:val="00416685"/>
    <w:rsid w:val="004441B6"/>
    <w:rsid w:val="00461E54"/>
    <w:rsid w:val="005A1B7B"/>
    <w:rsid w:val="0081191F"/>
    <w:rsid w:val="00AD4D53"/>
    <w:rsid w:val="00C5039B"/>
    <w:rsid w:val="00C712F8"/>
    <w:rsid w:val="00E6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5:chartTrackingRefBased/>
  <w15:docId w15:val="{F1E917AE-F391-425D-94B7-2475E904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qFormat/>
    <w:rsid w:val="00416685"/>
    <w:pPr>
      <w:spacing w:before="100" w:beforeAutospacing="1" w:after="100" w:afterAutospacing="1"/>
      <w:outlineLvl w:val="2"/>
    </w:pPr>
    <w:rPr>
      <w:b/>
      <w:bCs/>
      <w:color w:val="333399"/>
      <w:sz w:val="31"/>
      <w:szCs w:val="3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712F8"/>
    <w:pPr>
      <w:spacing w:before="100" w:beforeAutospacing="1" w:after="100" w:afterAutospacing="1"/>
    </w:pPr>
    <w:rPr>
      <w:rFonts w:ascii="Arial" w:hAnsi="Arial" w:cs="Arial"/>
    </w:rPr>
  </w:style>
  <w:style w:type="paragraph" w:styleId="CommentText">
    <w:name w:val="annotation text"/>
    <w:basedOn w:val="Normal"/>
    <w:semiHidden/>
    <w:rsid w:val="00416685"/>
    <w:pPr>
      <w:autoSpaceDE w:val="0"/>
      <w:autoSpaceDN w:val="0"/>
    </w:pPr>
    <w:rPr>
      <w:rFonts w:ascii="Times" w:hAnsi="Times" w:cs="Times"/>
      <w:sz w:val="20"/>
      <w:szCs w:val="20"/>
    </w:rPr>
  </w:style>
  <w:style w:type="paragraph" w:styleId="Header">
    <w:name w:val="header"/>
    <w:basedOn w:val="Normal"/>
    <w:rsid w:val="00416685"/>
    <w:pPr>
      <w:tabs>
        <w:tab w:val="center" w:pos="4320"/>
        <w:tab w:val="right" w:pos="8640"/>
      </w:tabs>
      <w:autoSpaceDE w:val="0"/>
      <w:autoSpaceDN w:val="0"/>
    </w:pPr>
    <w:rPr>
      <w:rFonts w:ascii="Times" w:hAnsi="Times" w:cs="Times"/>
    </w:rPr>
  </w:style>
  <w:style w:type="paragraph" w:styleId="PlainText">
    <w:name w:val="Plain Text"/>
    <w:basedOn w:val="Normal"/>
    <w:rsid w:val="00416685"/>
    <w:pPr>
      <w:autoSpaceDE w:val="0"/>
      <w:autoSpaceDN w:val="0"/>
    </w:pPr>
    <w:rPr>
      <w:rFonts w:ascii="Courier New" w:hAnsi="Courier New" w:cs="Courier New"/>
      <w:sz w:val="20"/>
      <w:szCs w:val="20"/>
    </w:rPr>
  </w:style>
  <w:style w:type="paragraph" w:customStyle="1" w:styleId="H6">
    <w:name w:val="H6"/>
    <w:basedOn w:val="Normal"/>
    <w:next w:val="Normal"/>
    <w:rsid w:val="00416685"/>
    <w:pPr>
      <w:widowControl w:val="0"/>
      <w:autoSpaceDE w:val="0"/>
      <w:autoSpaceDN w:val="0"/>
      <w:snapToGrid w:val="0"/>
      <w:spacing w:before="100"/>
      <w:outlineLvl w:val="6"/>
    </w:pPr>
    <w:rPr>
      <w:rFonts w:ascii="Arial" w:hAnsi="Arial" w:cs="Arial"/>
      <w:b/>
      <w:bCs/>
      <w:sz w:val="20"/>
      <w:szCs w:val="20"/>
    </w:rPr>
  </w:style>
  <w:style w:type="paragraph" w:styleId="Date">
    <w:name w:val="Date"/>
    <w:basedOn w:val="Normal"/>
    <w:next w:val="Normal"/>
    <w:rsid w:val="00416685"/>
    <w:pPr>
      <w:autoSpaceDE w:val="0"/>
      <w:autoSpaceDN w:val="0"/>
    </w:pPr>
    <w:rPr>
      <w:rFonts w:ascii="Times" w:hAnsi="Times" w:cs="Times"/>
    </w:rPr>
  </w:style>
  <w:style w:type="character" w:styleId="Hyperlink">
    <w:name w:val="Hyperlink"/>
    <w:basedOn w:val="DefaultParagraphFont"/>
    <w:rsid w:val="00416685"/>
    <w:rPr>
      <w:color w:val="3333CC"/>
      <w:u w:val="single"/>
    </w:rPr>
  </w:style>
  <w:style w:type="paragraph" w:styleId="Footer">
    <w:name w:val="footer"/>
    <w:basedOn w:val="Normal"/>
    <w:rsid w:val="004441B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1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grants.nih.gov/grants/guide/notice-files/NOT-OD-00-04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nts.nih.gov/grants/guide/notice-files/NOT-OD-00-046.html" TargetMode="External"/><Relationship Id="rId5" Type="http://schemas.openxmlformats.org/officeDocument/2006/relationships/footnotes" Target="footnotes.xml"/><Relationship Id="rId10" Type="http://schemas.openxmlformats.org/officeDocument/2006/relationships/hyperlink" Target="http://grants.nih.gov/grants/funding/modular/modular.htm" TargetMode="External"/><Relationship Id="rId4" Type="http://schemas.openxmlformats.org/officeDocument/2006/relationships/webSettings" Target="webSettings.xml"/><Relationship Id="rId9" Type="http://schemas.openxmlformats.org/officeDocument/2006/relationships/hyperlink" Target="http://grants.nih.gov/grants/funding/phs398/phs398.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becker\Application%20Data\Microsoft\Templates\verdan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verdana</Template>
  <TotalTime>1</TotalTime>
  <Pages>7</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THE MODULAR RESEARCH GRANT PROPOSAL:</vt:lpstr>
    </vt:vector>
  </TitlesOfParts>
  <Company>UTHSC</Company>
  <LinksUpToDate>false</LinksUpToDate>
  <CharactersWithSpaces>13645</CharactersWithSpaces>
  <SharedDoc>false</SharedDoc>
  <HLinks>
    <vt:vector size="24" baseType="variant">
      <vt:variant>
        <vt:i4>3801187</vt:i4>
      </vt:variant>
      <vt:variant>
        <vt:i4>9</vt:i4>
      </vt:variant>
      <vt:variant>
        <vt:i4>0</vt:i4>
      </vt:variant>
      <vt:variant>
        <vt:i4>5</vt:i4>
      </vt:variant>
      <vt:variant>
        <vt:lpwstr>http://grants.nih.gov/grants/guide/notice-files/NOT-OD-00-046.html</vt:lpwstr>
      </vt:variant>
      <vt:variant>
        <vt:lpwstr/>
      </vt:variant>
      <vt:variant>
        <vt:i4>3801187</vt:i4>
      </vt:variant>
      <vt:variant>
        <vt:i4>6</vt:i4>
      </vt:variant>
      <vt:variant>
        <vt:i4>0</vt:i4>
      </vt:variant>
      <vt:variant>
        <vt:i4>5</vt:i4>
      </vt:variant>
      <vt:variant>
        <vt:lpwstr>http://grants.nih.gov/grants/guide/notice-files/NOT-OD-00-046.html</vt:lpwstr>
      </vt:variant>
      <vt:variant>
        <vt:lpwstr/>
      </vt:variant>
      <vt:variant>
        <vt:i4>1835017</vt:i4>
      </vt:variant>
      <vt:variant>
        <vt:i4>3</vt:i4>
      </vt:variant>
      <vt:variant>
        <vt:i4>0</vt:i4>
      </vt:variant>
      <vt:variant>
        <vt:i4>5</vt:i4>
      </vt:variant>
      <vt:variant>
        <vt:lpwstr>http://grants.nih.gov/grants/funding/modular/modular.htm</vt:lpwstr>
      </vt:variant>
      <vt:variant>
        <vt:lpwstr/>
      </vt:variant>
      <vt:variant>
        <vt:i4>6946943</vt:i4>
      </vt:variant>
      <vt:variant>
        <vt:i4>0</vt:i4>
      </vt:variant>
      <vt:variant>
        <vt:i4>0</vt:i4>
      </vt:variant>
      <vt:variant>
        <vt:i4>5</vt:i4>
      </vt:variant>
      <vt:variant>
        <vt:lpwstr>http://grants.nih.gov/grants/funding/phs398/phs398.html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MODULAR RESEARCH GRANT PROPOSAL:</dc:title>
  <dc:subject/>
  <dc:creator>bbecker</dc:creator>
  <cp:keywords/>
  <dc:description/>
  <cp:lastModifiedBy>Roberson Jr, Troy J</cp:lastModifiedBy>
  <cp:revision>2</cp:revision>
  <cp:lastPrinted>1601-01-01T00:00:00Z</cp:lastPrinted>
  <dcterms:created xsi:type="dcterms:W3CDTF">2018-08-23T19:46:00Z</dcterms:created>
  <dcterms:modified xsi:type="dcterms:W3CDTF">2018-08-23T19:46:00Z</dcterms:modified>
</cp:coreProperties>
</file>