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EA65" w14:textId="20C9D06C"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332CD4">
        <w:rPr>
          <w:rFonts w:cs="Arial"/>
          <w:bCs/>
          <w:i/>
          <w:iCs/>
          <w:color w:val="FF0000"/>
          <w:sz w:val="20"/>
        </w:rPr>
        <w:t>1</w:t>
      </w:r>
      <w:r w:rsidR="000156C2">
        <w:rPr>
          <w:rFonts w:cs="Arial"/>
          <w:bCs/>
          <w:i/>
          <w:iCs/>
          <w:color w:val="FF0000"/>
          <w:sz w:val="20"/>
        </w:rPr>
        <w:t>/</w:t>
      </w:r>
      <w:r w:rsidR="00332CD4">
        <w:rPr>
          <w:rFonts w:cs="Arial"/>
          <w:bCs/>
          <w:i/>
          <w:iCs/>
          <w:color w:val="FF0000"/>
          <w:sz w:val="20"/>
        </w:rPr>
        <w:t>10</w:t>
      </w:r>
      <w:r w:rsidR="000156C2">
        <w:rPr>
          <w:rFonts w:cs="Arial"/>
          <w:bCs/>
          <w:i/>
          <w:iCs/>
          <w:color w:val="FF0000"/>
          <w:sz w:val="20"/>
        </w:rPr>
        <w:t>/</w:t>
      </w:r>
      <w:r w:rsidR="00332CD4">
        <w:rPr>
          <w:rFonts w:cs="Arial"/>
          <w:bCs/>
          <w:i/>
          <w:iCs/>
          <w:color w:val="FF0000"/>
          <w:sz w:val="20"/>
        </w:rPr>
        <w:t>2020</w:t>
      </w:r>
    </w:p>
    <w:p w14:paraId="26D6E4F7" w14:textId="2687EF0D" w:rsidR="00F9759F" w:rsidRPr="007A54A3" w:rsidRDefault="005671E2" w:rsidP="005671E2">
      <w:pPr>
        <w:tabs>
          <w:tab w:val="left" w:pos="8458"/>
        </w:tabs>
        <w:suppressAutoHyphens/>
        <w:rPr>
          <w:rFonts w:ascii="Arial" w:hAnsi="Arial" w:cs="Arial"/>
          <w:spacing w:val="-3"/>
          <w:sz w:val="20"/>
        </w:rPr>
      </w:pPr>
      <w:r>
        <w:rPr>
          <w:rFonts w:ascii="Arial" w:hAnsi="Arial" w:cs="Arial"/>
          <w:spacing w:val="-3"/>
          <w:sz w:val="20"/>
        </w:rPr>
        <w:tab/>
      </w:r>
    </w:p>
    <w:p w14:paraId="1E8E8F6F" w14:textId="77777777" w:rsidR="001B00B1" w:rsidRDefault="00F9759F" w:rsidP="001B00B1">
      <w:pPr>
        <w:tabs>
          <w:tab w:val="center" w:pos="4680"/>
        </w:tabs>
        <w:suppressAutoHyphens/>
        <w:jc w:val="both"/>
        <w:rPr>
          <w:rFonts w:ascii="Arial" w:hAnsi="Arial" w:cs="Arial"/>
          <w:b/>
          <w:spacing w:val="-3"/>
          <w:sz w:val="20"/>
        </w:rPr>
      </w:pPr>
      <w:r w:rsidRPr="007A54A3">
        <w:rPr>
          <w:rFonts w:ascii="Arial" w:hAnsi="Arial" w:cs="Arial"/>
          <w:spacing w:val="-3"/>
          <w:sz w:val="20"/>
        </w:rPr>
        <w:tab/>
      </w:r>
      <w:r w:rsidR="001B00B1" w:rsidRPr="007A54A3">
        <w:rPr>
          <w:rFonts w:ascii="Arial" w:hAnsi="Arial" w:cs="Arial"/>
          <w:b/>
          <w:spacing w:val="-3"/>
          <w:sz w:val="20"/>
        </w:rPr>
        <w:t>AGREEMENT BETWEEN UNIVERSITY AND CONTRACTOR</w:t>
      </w:r>
    </w:p>
    <w:p w14:paraId="5E215430" w14:textId="77777777" w:rsidR="001B00B1" w:rsidRPr="007A54A3" w:rsidRDefault="001B00B1" w:rsidP="001B00B1">
      <w:pPr>
        <w:tabs>
          <w:tab w:val="center" w:pos="4680"/>
        </w:tabs>
        <w:suppressAutoHyphens/>
        <w:jc w:val="both"/>
        <w:rPr>
          <w:rFonts w:ascii="Arial" w:hAnsi="Arial" w:cs="Arial"/>
          <w:spacing w:val="-3"/>
          <w:sz w:val="20"/>
        </w:rPr>
      </w:pPr>
      <w:r>
        <w:rPr>
          <w:rFonts w:ascii="Arial" w:hAnsi="Arial" w:cs="Arial"/>
          <w:b/>
          <w:spacing w:val="-3"/>
          <w:sz w:val="20"/>
        </w:rPr>
        <w:tab/>
        <w:t>UTHealth Contract # ___________</w:t>
      </w:r>
      <w:r w:rsidRPr="007A54A3">
        <w:rPr>
          <w:rFonts w:ascii="Arial" w:hAnsi="Arial" w:cs="Arial"/>
          <w:spacing w:val="-3"/>
          <w:sz w:val="20"/>
        </w:rPr>
        <w:fldChar w:fldCharType="begin"/>
      </w:r>
      <w:r w:rsidRPr="007A54A3">
        <w:rPr>
          <w:rFonts w:ascii="Arial" w:hAnsi="Arial" w:cs="Arial"/>
          <w:spacing w:val="-3"/>
          <w:sz w:val="20"/>
        </w:rPr>
        <w:instrText xml:space="preserve">PRIVATE </w:instrText>
      </w:r>
      <w:r w:rsidRPr="007A54A3">
        <w:rPr>
          <w:rFonts w:ascii="Arial" w:hAnsi="Arial" w:cs="Arial"/>
          <w:spacing w:val="-3"/>
          <w:sz w:val="20"/>
        </w:rPr>
        <w:fldChar w:fldCharType="end"/>
      </w:r>
    </w:p>
    <w:p w14:paraId="20410C12" w14:textId="3FA79E7D" w:rsidR="00F9759F" w:rsidRPr="007A54A3" w:rsidRDefault="00697E16" w:rsidP="001B00B1">
      <w:pPr>
        <w:tabs>
          <w:tab w:val="center" w:pos="4680"/>
        </w:tabs>
        <w:suppressAutoHyphens/>
        <w:jc w:val="both"/>
        <w:rPr>
          <w:rFonts w:ascii="Arial" w:hAnsi="Arial" w:cs="Arial"/>
          <w:spacing w:val="-3"/>
          <w:sz w:val="20"/>
        </w:rPr>
      </w:pPr>
      <w:r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Pr="007A54A3">
        <w:rPr>
          <w:rFonts w:ascii="Arial" w:hAnsi="Arial" w:cs="Arial"/>
          <w:spacing w:val="-3"/>
          <w:sz w:val="20"/>
        </w:rPr>
        <w:fldChar w:fldCharType="end"/>
      </w:r>
    </w:p>
    <w:p w14:paraId="7A78E202" w14:textId="77777777" w:rsidR="00F9759F" w:rsidRPr="007A54A3" w:rsidRDefault="00F9759F">
      <w:pPr>
        <w:tabs>
          <w:tab w:val="left" w:pos="-720"/>
        </w:tabs>
        <w:suppressAutoHyphens/>
        <w:jc w:val="both"/>
        <w:rPr>
          <w:rFonts w:ascii="Arial" w:hAnsi="Arial" w:cs="Arial"/>
          <w:spacing w:val="-3"/>
          <w:sz w:val="20"/>
        </w:rPr>
      </w:pPr>
    </w:p>
    <w:p w14:paraId="2B0CCBBF" w14:textId="77777777" w:rsidR="001B00B1" w:rsidRPr="00813471" w:rsidRDefault="00F9759F" w:rsidP="001B00B1">
      <w:pPr>
        <w:tabs>
          <w:tab w:val="left" w:pos="-720"/>
        </w:tabs>
        <w:suppressAutoHyphens/>
        <w:jc w:val="both"/>
        <w:rPr>
          <w:rFonts w:ascii="Arial" w:hAnsi="Arial" w:cs="Arial"/>
          <w:spacing w:val="-3"/>
          <w:sz w:val="20"/>
        </w:rPr>
      </w:pPr>
      <w:r w:rsidRPr="007A54A3">
        <w:rPr>
          <w:rFonts w:ascii="Arial" w:hAnsi="Arial" w:cs="Arial"/>
          <w:spacing w:val="-3"/>
          <w:sz w:val="20"/>
        </w:rPr>
        <w:tab/>
      </w:r>
      <w:r w:rsidR="001B00B1" w:rsidRPr="007A54A3">
        <w:rPr>
          <w:rFonts w:ascii="Arial" w:hAnsi="Arial" w:cs="Arial"/>
          <w:spacing w:val="-3"/>
          <w:sz w:val="20"/>
        </w:rPr>
        <w:t>This Agreement between University and Contractor (</w:t>
      </w:r>
      <w:r w:rsidR="001B00B1" w:rsidRPr="007A54A3">
        <w:rPr>
          <w:rFonts w:ascii="Arial" w:hAnsi="Arial" w:cs="Arial"/>
          <w:b/>
          <w:spacing w:val="-3"/>
          <w:sz w:val="20"/>
        </w:rPr>
        <w:t>Agreement</w:t>
      </w:r>
      <w:r w:rsidR="001B00B1" w:rsidRPr="007A54A3">
        <w:rPr>
          <w:rFonts w:ascii="Arial" w:hAnsi="Arial" w:cs="Arial"/>
          <w:spacing w:val="-3"/>
          <w:sz w:val="20"/>
        </w:rPr>
        <w:t>) is made and entered into effective as of _________________, 20____ (</w:t>
      </w:r>
      <w:r w:rsidR="001B00B1" w:rsidRPr="007A54A3">
        <w:rPr>
          <w:rFonts w:ascii="Arial" w:hAnsi="Arial" w:cs="Arial"/>
          <w:b/>
          <w:spacing w:val="-3"/>
          <w:sz w:val="20"/>
        </w:rPr>
        <w:t>Effective Date</w:t>
      </w:r>
      <w:r w:rsidR="001B00B1" w:rsidRPr="007A54A3">
        <w:rPr>
          <w:rFonts w:ascii="Arial" w:hAnsi="Arial" w:cs="Arial"/>
          <w:spacing w:val="-3"/>
          <w:sz w:val="20"/>
        </w:rPr>
        <w:t xml:space="preserve">), by and between </w:t>
      </w:r>
      <w:r w:rsidR="001B00B1" w:rsidRPr="007A54A3">
        <w:rPr>
          <w:rFonts w:ascii="Arial" w:hAnsi="Arial" w:cs="Arial"/>
          <w:b/>
          <w:spacing w:val="-3"/>
          <w:sz w:val="20"/>
        </w:rPr>
        <w:t xml:space="preserve">The University of Texas </w:t>
      </w:r>
      <w:r w:rsidR="001B00B1">
        <w:rPr>
          <w:rFonts w:ascii="Arial" w:hAnsi="Arial" w:cs="Arial"/>
          <w:b/>
          <w:spacing w:val="-3"/>
          <w:sz w:val="20"/>
        </w:rPr>
        <w:t>Health Science Center at Houston</w:t>
      </w:r>
      <w:r w:rsidR="001B00B1" w:rsidRPr="007A54A3">
        <w:rPr>
          <w:rFonts w:ascii="Arial" w:hAnsi="Arial" w:cs="Arial"/>
          <w:spacing w:val="-3"/>
          <w:sz w:val="20"/>
        </w:rPr>
        <w:t>, an agency and institution of higher education established under the laws of the State of Texas (</w:t>
      </w:r>
      <w:r w:rsidR="001B00B1" w:rsidRPr="007A54A3">
        <w:rPr>
          <w:rFonts w:ascii="Arial" w:hAnsi="Arial" w:cs="Arial"/>
          <w:b/>
          <w:spacing w:val="-3"/>
          <w:sz w:val="20"/>
        </w:rPr>
        <w:t>University</w:t>
      </w:r>
      <w:r w:rsidR="001B00B1" w:rsidRPr="007A54A3">
        <w:rPr>
          <w:rFonts w:ascii="Arial" w:hAnsi="Arial" w:cs="Arial"/>
          <w:spacing w:val="-3"/>
          <w:sz w:val="20"/>
        </w:rPr>
        <w:t xml:space="preserve">), and </w:t>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rPr>
        <w:t xml:space="preserve">, a </w:t>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t xml:space="preserve"> </w:t>
      </w:r>
      <w:r w:rsidR="001B00B1">
        <w:rPr>
          <w:rFonts w:ascii="Arial" w:hAnsi="Arial" w:cs="Arial"/>
          <w:b/>
          <w:spacing w:val="-3"/>
          <w:sz w:val="20"/>
        </w:rPr>
        <w:t xml:space="preserve"> </w:t>
      </w:r>
      <w:r w:rsidR="001B00B1" w:rsidRPr="007A54A3">
        <w:rPr>
          <w:rFonts w:ascii="Arial" w:hAnsi="Arial" w:cs="Arial"/>
          <w:spacing w:val="-3"/>
          <w:sz w:val="20"/>
        </w:rPr>
        <w:t>(</w:t>
      </w:r>
      <w:r w:rsidR="001B00B1" w:rsidRPr="007A54A3">
        <w:rPr>
          <w:rFonts w:ascii="Arial" w:hAnsi="Arial" w:cs="Arial"/>
          <w:b/>
          <w:spacing w:val="-3"/>
          <w:sz w:val="20"/>
        </w:rPr>
        <w:t>Contractor</w:t>
      </w:r>
      <w:r w:rsidR="001B00B1" w:rsidRPr="007A54A3">
        <w:rPr>
          <w:rFonts w:ascii="Arial" w:hAnsi="Arial" w:cs="Arial"/>
          <w:spacing w:val="-3"/>
          <w:sz w:val="20"/>
        </w:rPr>
        <w:t>)</w:t>
      </w:r>
      <w:r w:rsidR="001B00B1" w:rsidRPr="007A54A3">
        <w:rPr>
          <w:rFonts w:ascii="Arial" w:hAnsi="Arial" w:cs="Arial"/>
          <w:b/>
          <w:spacing w:val="-3"/>
          <w:sz w:val="20"/>
        </w:rPr>
        <w:t>,</w:t>
      </w:r>
      <w:r w:rsidR="001B00B1" w:rsidRPr="007A54A3">
        <w:rPr>
          <w:rFonts w:ascii="Arial" w:hAnsi="Arial" w:cs="Arial"/>
          <w:spacing w:val="-3"/>
          <w:sz w:val="20"/>
        </w:rPr>
        <w:t xml:space="preserve"> Federal Tax Identification Number _______________________</w:t>
      </w:r>
      <w:r w:rsidR="001B00B1">
        <w:rPr>
          <w:rFonts w:ascii="Arial" w:hAnsi="Arial" w:cs="Arial"/>
          <w:spacing w:val="-3"/>
          <w:sz w:val="20"/>
        </w:rPr>
        <w:t>.</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D6D67D"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4DDDFB8"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1B00B1"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7244F742"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proofErr w:type="gramStart"/>
      <w:r w:rsidR="00071999">
        <w:rPr>
          <w:rFonts w:ascii="Arial" w:hAnsi="Arial" w:cs="Arial"/>
          <w:sz w:val="20"/>
        </w:rPr>
        <w:t xml:space="preserve">tax </w:t>
      </w:r>
      <w:r w:rsidR="00D9758E">
        <w:rPr>
          <w:rFonts w:ascii="Arial" w:hAnsi="Arial" w:cs="Arial"/>
          <w:sz w:val="20"/>
        </w:rPr>
        <w:t>exempt</w:t>
      </w:r>
      <w:proofErr w:type="gramEnd"/>
      <w:r w:rsidR="00D9758E">
        <w:rPr>
          <w:rFonts w:ascii="Arial" w:hAnsi="Arial" w:cs="Arial"/>
          <w:sz w:val="20"/>
        </w:rPr>
        <w:t xml:space="preserve">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673584">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lastRenderedPageBreak/>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673584" w:rsidRDefault="00B41F53" w:rsidP="00A90F61">
      <w:pPr>
        <w:tabs>
          <w:tab w:val="left" w:pos="-720"/>
          <w:tab w:val="left" w:pos="0"/>
          <w:tab w:val="left" w:pos="1440"/>
        </w:tabs>
        <w:suppressAutoHyphens/>
        <w:ind w:left="1440" w:hanging="720"/>
        <w:jc w:val="both"/>
        <w:rPr>
          <w:rFonts w:ascii="Arial" w:hAnsi="Arial" w:cs="Arial"/>
          <w:spacing w:val="-3"/>
          <w:sz w:val="20"/>
        </w:rPr>
      </w:pPr>
      <w:r w:rsidRPr="00673584">
        <w:rPr>
          <w:rFonts w:ascii="Arial" w:hAnsi="Arial" w:cs="Arial"/>
          <w:spacing w:val="-3"/>
          <w:sz w:val="20"/>
        </w:rPr>
        <w:t>7.6</w:t>
      </w:r>
      <w:r w:rsidRPr="00673584">
        <w:rPr>
          <w:rFonts w:ascii="Arial" w:hAnsi="Arial" w:cs="Arial"/>
          <w:spacing w:val="-3"/>
          <w:sz w:val="20"/>
        </w:rPr>
        <w:tab/>
      </w:r>
      <w:r w:rsidR="00A90F61" w:rsidRPr="00673584">
        <w:rPr>
          <w:rFonts w:ascii="Arial" w:hAnsi="Arial" w:cs="Arial"/>
          <w:spacing w:val="-3"/>
          <w:sz w:val="20"/>
        </w:rPr>
        <w:t>Contractor IP is the sole property of Contractor (or its licensor) and Contractor (or its licensor) will at all times retain sole and exclusive title to and ownership of Contractor IP.  Contractor grants University a non-exclusive, worldwide, perpetual, irrevocable, sub</w:t>
      </w:r>
      <w:r w:rsidR="00BE5733" w:rsidRPr="00673584">
        <w:rPr>
          <w:rFonts w:ascii="Arial" w:hAnsi="Arial" w:cs="Arial"/>
          <w:spacing w:val="-3"/>
          <w:sz w:val="20"/>
        </w:rPr>
        <w:noBreakHyphen/>
      </w:r>
      <w:r w:rsidR="00A90F61" w:rsidRPr="00673584">
        <w:rPr>
          <w:rFonts w:ascii="Arial" w:hAnsi="Arial" w:cs="Arial"/>
          <w:spacing w:val="-3"/>
          <w:sz w:val="20"/>
        </w:rPr>
        <w:t xml:space="preserve">licensable, royalty-free license to use Contractor IP in connection with the Work </w:t>
      </w:r>
      <w:r w:rsidR="00BE5733" w:rsidRPr="00673584">
        <w:rPr>
          <w:rFonts w:ascii="Arial" w:hAnsi="Arial" w:cs="Arial"/>
          <w:spacing w:val="-3"/>
          <w:sz w:val="20"/>
        </w:rPr>
        <w:t>and</w:t>
      </w:r>
      <w:r w:rsidR="00A90F61" w:rsidRPr="00673584">
        <w:rPr>
          <w:rFonts w:ascii="Arial" w:hAnsi="Arial" w:cs="Arial"/>
          <w:spacing w:val="-3"/>
          <w:sz w:val="20"/>
        </w:rPr>
        <w:t xml:space="preserve"> Contractor’s services related to the Work. “</w:t>
      </w:r>
      <w:r w:rsidR="00A90F61" w:rsidRPr="00673584">
        <w:rPr>
          <w:rFonts w:ascii="Arial" w:hAnsi="Arial" w:cs="Arial"/>
          <w:b/>
          <w:spacing w:val="-3"/>
          <w:sz w:val="20"/>
        </w:rPr>
        <w:t>Contractor IP</w:t>
      </w:r>
      <w:r w:rsidR="00A90F61" w:rsidRPr="00673584">
        <w:rPr>
          <w:rFonts w:ascii="Arial" w:hAnsi="Arial" w:cs="Arial"/>
          <w:spacing w:val="-3"/>
          <w:sz w:val="20"/>
        </w:rPr>
        <w:t>” means a</w:t>
      </w:r>
      <w:r w:rsidRPr="00673584">
        <w:rPr>
          <w:rFonts w:ascii="Arial" w:hAnsi="Arial" w:cs="Arial"/>
          <w:spacing w:val="-3"/>
          <w:sz w:val="20"/>
        </w:rPr>
        <w:t>ll tools, software and programs owned by Contractor</w:t>
      </w:r>
      <w:r w:rsidR="00025C6B" w:rsidRPr="00673584">
        <w:rPr>
          <w:rFonts w:ascii="Arial" w:hAnsi="Arial" w:cs="Arial"/>
          <w:spacing w:val="-3"/>
          <w:sz w:val="20"/>
        </w:rPr>
        <w:t xml:space="preserve"> (lic</w:t>
      </w:r>
      <w:r w:rsidRPr="00673584">
        <w:rPr>
          <w:rFonts w:ascii="Arial" w:hAnsi="Arial" w:cs="Arial"/>
          <w:spacing w:val="-3"/>
          <w:sz w:val="20"/>
        </w:rPr>
        <w:t>ensed to Contractor by a third party</w:t>
      </w:r>
      <w:r w:rsidR="00BE5733" w:rsidRPr="00673584">
        <w:rPr>
          <w:rFonts w:ascii="Arial" w:hAnsi="Arial" w:cs="Arial"/>
          <w:spacing w:val="-3"/>
          <w:sz w:val="20"/>
        </w:rPr>
        <w:t xml:space="preserve"> licensor</w:t>
      </w:r>
      <w:r w:rsidR="00025C6B" w:rsidRPr="00673584">
        <w:rPr>
          <w:rFonts w:ascii="Arial" w:hAnsi="Arial" w:cs="Arial"/>
          <w:spacing w:val="-3"/>
          <w:sz w:val="20"/>
        </w:rPr>
        <w:t>)</w:t>
      </w:r>
      <w:r w:rsidRPr="00673584">
        <w:rPr>
          <w:rFonts w:ascii="Arial" w:hAnsi="Arial" w:cs="Arial"/>
          <w:spacing w:val="-3"/>
          <w:sz w:val="20"/>
        </w:rPr>
        <w:t xml:space="preserve"> that (1)</w:t>
      </w:r>
      <w:r w:rsidR="00025C6B" w:rsidRPr="00673584">
        <w:rPr>
          <w:rFonts w:ascii="Arial" w:hAnsi="Arial" w:cs="Arial"/>
          <w:spacing w:val="-3"/>
          <w:sz w:val="20"/>
        </w:rPr>
        <w:t> </w:t>
      </w:r>
      <w:r w:rsidRPr="00673584">
        <w:rPr>
          <w:rFonts w:ascii="Arial" w:hAnsi="Arial" w:cs="Arial"/>
          <w:spacing w:val="-3"/>
          <w:sz w:val="20"/>
        </w:rPr>
        <w:t xml:space="preserve">existed prior to the </w:t>
      </w:r>
      <w:r w:rsidR="00A90F61" w:rsidRPr="00673584">
        <w:rPr>
          <w:rFonts w:ascii="Arial" w:hAnsi="Arial" w:cs="Arial"/>
          <w:spacing w:val="-3"/>
          <w:sz w:val="20"/>
        </w:rPr>
        <w:t>E</w:t>
      </w:r>
      <w:r w:rsidRPr="00673584">
        <w:rPr>
          <w:rFonts w:ascii="Arial" w:hAnsi="Arial" w:cs="Arial"/>
          <w:spacing w:val="-3"/>
          <w:sz w:val="20"/>
        </w:rPr>
        <w:t xml:space="preserve">ffective </w:t>
      </w:r>
      <w:r w:rsidR="00A90F61" w:rsidRPr="00673584">
        <w:rPr>
          <w:rFonts w:ascii="Arial" w:hAnsi="Arial" w:cs="Arial"/>
          <w:spacing w:val="-3"/>
          <w:sz w:val="20"/>
        </w:rPr>
        <w:t>D</w:t>
      </w:r>
      <w:r w:rsidRPr="00673584">
        <w:rPr>
          <w:rFonts w:ascii="Arial" w:hAnsi="Arial" w:cs="Arial"/>
          <w:spacing w:val="-3"/>
          <w:sz w:val="20"/>
        </w:rPr>
        <w:t xml:space="preserve">ate and the commencement of </w:t>
      </w:r>
      <w:r w:rsidR="00A90F61" w:rsidRPr="00673584">
        <w:rPr>
          <w:rFonts w:ascii="Arial" w:hAnsi="Arial" w:cs="Arial"/>
          <w:spacing w:val="-3"/>
          <w:sz w:val="20"/>
        </w:rPr>
        <w:t xml:space="preserve">the </w:t>
      </w:r>
      <w:r w:rsidRPr="00673584">
        <w:rPr>
          <w:rFonts w:ascii="Arial" w:hAnsi="Arial" w:cs="Arial"/>
          <w:spacing w:val="-3"/>
          <w:sz w:val="20"/>
        </w:rPr>
        <w:t>Work</w:t>
      </w:r>
      <w:r w:rsidR="00F44F85" w:rsidRPr="00673584">
        <w:rPr>
          <w:rFonts w:ascii="Arial" w:hAnsi="Arial" w:cs="Arial"/>
          <w:spacing w:val="-3"/>
          <w:sz w:val="20"/>
        </w:rPr>
        <w:t>; (2) are not related to</w:t>
      </w:r>
      <w:r w:rsidR="00A90F61" w:rsidRPr="00673584">
        <w:rPr>
          <w:rFonts w:ascii="Arial" w:hAnsi="Arial" w:cs="Arial"/>
          <w:spacing w:val="-3"/>
          <w:sz w:val="20"/>
        </w:rPr>
        <w:t xml:space="preserve"> the</w:t>
      </w:r>
      <w:r w:rsidR="00F44F85" w:rsidRPr="00673584">
        <w:rPr>
          <w:rFonts w:ascii="Arial" w:hAnsi="Arial" w:cs="Arial"/>
          <w:spacing w:val="-3"/>
          <w:sz w:val="20"/>
        </w:rPr>
        <w:t xml:space="preserve"> Work or to Contractor’s services in connection with the Work; </w:t>
      </w:r>
      <w:r w:rsidR="00A90F61" w:rsidRPr="00673584">
        <w:rPr>
          <w:rFonts w:ascii="Arial" w:hAnsi="Arial" w:cs="Arial"/>
          <w:spacing w:val="-3"/>
          <w:sz w:val="20"/>
        </w:rPr>
        <w:t>or (3) were created by Contractor (or its licensor) totally separate from the Work or Contractor’s services in connection with the Work.</w:t>
      </w:r>
    </w:p>
    <w:p w14:paraId="38AC8705" w14:textId="77777777" w:rsidR="00A90F61" w:rsidRPr="001E4F2E" w:rsidRDefault="00A90F61" w:rsidP="00A90F61">
      <w:pPr>
        <w:tabs>
          <w:tab w:val="left" w:pos="-720"/>
          <w:tab w:val="left" w:pos="0"/>
          <w:tab w:val="left" w:pos="1440"/>
        </w:tabs>
        <w:suppressAutoHyphens/>
        <w:ind w:left="1440" w:hanging="720"/>
        <w:jc w:val="both"/>
        <w:rPr>
          <w:rFonts w:ascii="Arial" w:hAnsi="Arial" w:cs="Arial"/>
          <w:spacing w:val="-3"/>
          <w:sz w:val="20"/>
          <w:highlight w:val="darkGray"/>
        </w:rPr>
      </w:pPr>
    </w:p>
    <w:p w14:paraId="4DC4A04F" w14:textId="5ACE95E3"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673584">
        <w:rPr>
          <w:rFonts w:ascii="Arial" w:hAnsi="Arial" w:cs="Arial"/>
          <w:spacing w:val="-3"/>
          <w:sz w:val="20"/>
        </w:rPr>
        <w:t>7.</w:t>
      </w:r>
      <w:r w:rsidR="00673584">
        <w:rPr>
          <w:rFonts w:ascii="Arial" w:hAnsi="Arial" w:cs="Arial"/>
          <w:spacing w:val="-3"/>
          <w:sz w:val="20"/>
        </w:rPr>
        <w:t>7</w:t>
      </w:r>
      <w:r w:rsidR="00125EEB" w:rsidRPr="00673584">
        <w:rPr>
          <w:rFonts w:ascii="Arial" w:hAnsi="Arial" w:cs="Arial"/>
          <w:spacing w:val="-3"/>
          <w:sz w:val="20"/>
        </w:rPr>
        <w:tab/>
      </w:r>
      <w:r w:rsidR="00A90F61" w:rsidRPr="00673584">
        <w:rPr>
          <w:rFonts w:ascii="Arial" w:hAnsi="Arial" w:cs="Arial"/>
          <w:spacing w:val="-3"/>
          <w:sz w:val="20"/>
        </w:rPr>
        <w:t>University grants Contractor a non-exclusive, worldwide, perpetual, irrevocable, sub</w:t>
      </w:r>
      <w:r w:rsidR="000F7511" w:rsidRPr="00673584">
        <w:rPr>
          <w:rFonts w:ascii="Arial" w:hAnsi="Arial" w:cs="Arial"/>
          <w:spacing w:val="-3"/>
          <w:sz w:val="20"/>
        </w:rPr>
        <w:noBreakHyphen/>
      </w:r>
      <w:r w:rsidR="00A90F61" w:rsidRPr="00673584">
        <w:rPr>
          <w:rFonts w:ascii="Arial" w:hAnsi="Arial" w:cs="Arial"/>
          <w:spacing w:val="-3"/>
          <w:sz w:val="20"/>
        </w:rPr>
        <w:t>licensable, royalty-free license to the Work Product Improvements to Contractor IP.</w:t>
      </w:r>
      <w:r w:rsidR="00A57169" w:rsidRPr="00673584">
        <w:rPr>
          <w:rFonts w:ascii="Arial" w:hAnsi="Arial" w:cs="Arial"/>
          <w:spacing w:val="-3"/>
          <w:sz w:val="20"/>
        </w:rPr>
        <w:t xml:space="preserve"> </w:t>
      </w:r>
      <w:r w:rsidR="00125EEB" w:rsidRPr="00673584">
        <w:rPr>
          <w:rFonts w:ascii="Arial" w:hAnsi="Arial" w:cs="Arial"/>
          <w:spacing w:val="-3"/>
          <w:sz w:val="20"/>
        </w:rPr>
        <w:t>“</w:t>
      </w:r>
      <w:r w:rsidR="00125EEB" w:rsidRPr="00673584">
        <w:rPr>
          <w:rFonts w:ascii="Arial" w:hAnsi="Arial" w:cs="Arial"/>
          <w:b/>
          <w:spacing w:val="-3"/>
          <w:sz w:val="20"/>
        </w:rPr>
        <w:t>Work Product Improvements to Contractor IP</w:t>
      </w:r>
      <w:r w:rsidR="00125EEB" w:rsidRPr="00673584">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125EEB">
        <w:rPr>
          <w:rFonts w:ascii="Arial" w:hAnsi="Arial" w:cs="Arial"/>
          <w:spacing w:val="-3"/>
          <w:sz w:val="20"/>
        </w:rPr>
        <w:t>.</w:t>
      </w:r>
      <w:r w:rsidR="00A57169" w:rsidRPr="00A57169">
        <w:rPr>
          <w:rFonts w:ascii="Arial" w:hAnsi="Arial" w:cs="Arial"/>
          <w:b/>
          <w:spacing w:val="-3"/>
          <w:sz w:val="20"/>
          <w:highlight w:val="cyan"/>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lastRenderedPageBreak/>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 xml:space="preserve">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w:t>
      </w:r>
      <w:r w:rsidRPr="007A54A3">
        <w:rPr>
          <w:rFonts w:ascii="Arial" w:hAnsi="Arial" w:cs="Arial"/>
          <w:b/>
          <w:bCs/>
          <w:sz w:val="20"/>
          <w:highlight w:val="yellow"/>
        </w:rPr>
        <w:lastRenderedPageBreak/>
        <w:t>the facts which lead to a conclusion of public purpose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5EDB8D61" w14:textId="4728FEC6" w:rsidR="00673584" w:rsidRPr="007A54A3" w:rsidRDefault="00DB74B3" w:rsidP="00673584">
      <w:pPr>
        <w:keepNext/>
        <w:keepLines/>
        <w:ind w:left="1440" w:hanging="720"/>
        <w:jc w:val="both"/>
        <w:rPr>
          <w:rFonts w:ascii="Arial" w:hAnsi="Arial" w:cs="Arial"/>
          <w:smallCaps/>
          <w:sz w:val="20"/>
        </w:rPr>
      </w:pPr>
      <w:r w:rsidRPr="007A54A3">
        <w:rPr>
          <w:rFonts w:ascii="Arial" w:hAnsi="Arial" w:cs="Arial"/>
          <w:smallCaps/>
          <w:sz w:val="20"/>
        </w:rPr>
        <w:t>9.1</w:t>
      </w:r>
      <w:r w:rsidR="00673584" w:rsidRPr="00673584">
        <w:rPr>
          <w:rFonts w:ascii="Arial" w:hAnsi="Arial" w:cs="Arial"/>
          <w:smallCaps/>
          <w:sz w:val="20"/>
        </w:rPr>
        <w:t xml:space="preserve"> </w:t>
      </w:r>
      <w:r w:rsidR="00673584">
        <w:rPr>
          <w:rFonts w:ascii="Arial" w:hAnsi="Arial" w:cs="Arial"/>
          <w:smallCaps/>
          <w:sz w:val="20"/>
        </w:rPr>
        <w:tab/>
      </w:r>
      <w:r w:rsidR="00673584" w:rsidRPr="007A54A3">
        <w:rPr>
          <w:rFonts w:ascii="Arial" w:hAnsi="Arial" w:cs="Arial"/>
          <w:smallCaps/>
          <w:sz w:val="20"/>
        </w:rPr>
        <w:t>To the fullest extent permitted by Applicable Laws, Contractor will and does hereby agree to indemnify, protect, defend with counsel approved by University, and hold harmless University and</w:t>
      </w:r>
      <w:r w:rsidR="00673584" w:rsidRPr="007A54A3">
        <w:rPr>
          <w:rFonts w:ascii="Arial" w:hAnsi="Arial" w:cs="Arial"/>
          <w:b/>
          <w:bCs/>
          <w:smallCaps/>
          <w:sz w:val="20"/>
        </w:rPr>
        <w:t xml:space="preserve">, </w:t>
      </w:r>
      <w:r w:rsidR="00673584" w:rsidRPr="007A54A3">
        <w:rPr>
          <w:rFonts w:ascii="Arial" w:hAnsi="Arial" w:cs="Arial"/>
          <w:smallCaps/>
          <w:sz w:val="20"/>
        </w:rPr>
        <w:t xml:space="preserve">The University of Texas System, and respective affiliated enterprises, regents, officers, directors, attorneys, employees, representatives and agents (collectively, </w:t>
      </w:r>
      <w:r w:rsidR="00673584" w:rsidRPr="007A54A3">
        <w:rPr>
          <w:rFonts w:ascii="Arial" w:hAnsi="Arial" w:cs="Arial"/>
          <w:b/>
          <w:smallCaps/>
          <w:sz w:val="20"/>
        </w:rPr>
        <w:t>Indemnitees</w:t>
      </w:r>
      <w:r w:rsidR="00673584" w:rsidRPr="007A54A3">
        <w:rPr>
          <w:rFonts w:ascii="Arial" w:hAnsi="Arial" w:cs="Arial"/>
          <w:smallCaps/>
          <w:sz w:val="20"/>
        </w:rPr>
        <w:t>) from and against all damages, losses, liens, causes of action, suits, judgments, expenses, and other claims of any nature, kind, or description, including reasonable attorneys’ fees incurred in investigating, defending or settling any of the foregoing</w:t>
      </w:r>
      <w:r w:rsidR="00673584" w:rsidRPr="007A54A3">
        <w:rPr>
          <w:rFonts w:ascii="Arial" w:hAnsi="Arial" w:cs="Arial"/>
          <w:b/>
          <w:smallCaps/>
          <w:sz w:val="20"/>
        </w:rPr>
        <w:t xml:space="preserve"> </w:t>
      </w:r>
      <w:r w:rsidR="00673584" w:rsidRPr="007A54A3">
        <w:rPr>
          <w:rFonts w:ascii="Arial" w:hAnsi="Arial" w:cs="Arial"/>
          <w:smallCaps/>
          <w:sz w:val="20"/>
        </w:rPr>
        <w:t xml:space="preserve">(collectively, </w:t>
      </w:r>
      <w:r w:rsidR="00673584" w:rsidRPr="007A54A3">
        <w:rPr>
          <w:rFonts w:ascii="Arial" w:hAnsi="Arial" w:cs="Arial"/>
          <w:b/>
          <w:smallCaps/>
          <w:sz w:val="20"/>
        </w:rPr>
        <w:t>Claims</w:t>
      </w:r>
      <w:r w:rsidR="00673584" w:rsidRPr="007A54A3">
        <w:rPr>
          <w:rFonts w:ascii="Arial" w:hAnsi="Arial" w:cs="Arial"/>
          <w:smallCaps/>
          <w:sz w:val="20"/>
        </w:rPr>
        <w:t>) by any person or entity, arising out of, caused by, or resulting from Contractor’s performance under or breach of this Agreement and that are caused in whole or in part by any negligent act, negligent omission or willful misconduct of Contractor, anyone directly employed by Contractor or anyone for whose acts Contractor may be liable. The provisions of this Section will not be construed to eliminate or reduce any other indemnification or right which any Indemnitee has by law or equity. All parties will be entitled to be represented by counsel at their own expense.</w:t>
      </w:r>
    </w:p>
    <w:p w14:paraId="27CBBC26" w14:textId="77777777" w:rsidR="00673584" w:rsidRPr="007A54A3" w:rsidRDefault="00673584" w:rsidP="00673584">
      <w:pPr>
        <w:ind w:left="720"/>
        <w:jc w:val="both"/>
        <w:rPr>
          <w:rFonts w:ascii="Arial" w:hAnsi="Arial" w:cs="Arial"/>
          <w:smallCaps/>
          <w:sz w:val="20"/>
        </w:rPr>
      </w:pPr>
    </w:p>
    <w:p w14:paraId="4DFDC596" w14:textId="77777777" w:rsidR="00673584" w:rsidRPr="007A54A3" w:rsidRDefault="00673584" w:rsidP="00673584">
      <w:pPr>
        <w:keepNext/>
        <w:keepLines/>
        <w:ind w:left="1440" w:hanging="720"/>
        <w:jc w:val="both"/>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 xml:space="preserve">In addition, Contractor will and does hereby agree to indemnify, protect, defend with counsel approved by University, and hold harmless Indemnitees from and against all claims arising from infringement or alleged infringement of any patent, copyright, trademark or other proprietary interest arising by or out of the performance of services or the provision of goods by Contractor, or the use by Indemnitees, at the direction of Contractor, of any article or material; </w:t>
      </w:r>
      <w:r w:rsidRPr="007A54A3">
        <w:rPr>
          <w:rFonts w:ascii="Arial" w:hAnsi="Arial" w:cs="Arial"/>
          <w:smallCaps/>
          <w:sz w:val="20"/>
          <w:u w:val="single"/>
        </w:rPr>
        <w:t>provided</w:t>
      </w:r>
      <w:r w:rsidRPr="007A54A3">
        <w:rPr>
          <w:rFonts w:ascii="Arial" w:hAnsi="Arial" w:cs="Arial"/>
          <w:smallCaps/>
          <w:sz w:val="20"/>
        </w:rPr>
        <w:t xml:space="preserve">, </w:t>
      </w:r>
      <w:r w:rsidRPr="007A54A3">
        <w:rPr>
          <w:rFonts w:ascii="Arial" w:hAnsi="Arial" w:cs="Arial"/>
          <w:smallCaps/>
          <w:sz w:val="20"/>
          <w:u w:val="single"/>
        </w:rPr>
        <w:t>that</w:t>
      </w:r>
      <w:r w:rsidRPr="007A54A3">
        <w:rPr>
          <w:rFonts w:ascii="Arial" w:hAnsi="Arial" w:cs="Arial"/>
          <w:smallCaps/>
          <w:sz w:val="20"/>
        </w:rPr>
        <w:t xml:space="preserve">, upon becoming aware of a suit or threat of suit for infringement, University will promptly notify Contractor and Contractor will be given the opportunity to negotiate a settlement. In the event of litigation, University agrees to reasonably cooperate with Contractor. All parties will be entitled to be represented by counsel at their own expense. </w:t>
      </w:r>
    </w:p>
    <w:p w14:paraId="71EC93B8" w14:textId="7FEA696E" w:rsidR="00F9759F" w:rsidRPr="007A54A3" w:rsidRDefault="00F9759F" w:rsidP="00673584">
      <w:pPr>
        <w:keepNext/>
        <w:keepLines/>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2B0FDE58"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lastRenderedPageBreak/>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may be endorsed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E17CAA">
        <w:rPr>
          <w:rFonts w:ascii="Arial" w:hAnsi="Arial" w:cs="Arial"/>
          <w:sz w:val="20"/>
        </w:rPr>
        <w:t xml:space="preserve"> ;</w:t>
      </w:r>
      <w:proofErr w:type="gramEnd"/>
      <w:r w:rsidRPr="00E17CAA">
        <w:rPr>
          <w:rFonts w:ascii="Arial" w:hAnsi="Arial" w:cs="Arial"/>
          <w:sz w:val="20"/>
        </w:rPr>
        <w:t xml:space="preserve">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 xml:space="preserve">Liquor Liability Insurance, with limits of not less than $1,000,000 per occurrence, $2,000,000 aggregate for bodily injury and property damage arising from selling, serving or furnishing of any alcoholic beverage by Contractor or </w:t>
      </w:r>
      <w:r w:rsidRPr="00E17CAA">
        <w:rPr>
          <w:rFonts w:ascii="Arial" w:hAnsi="Arial" w:cs="Arial"/>
          <w:color w:val="000000"/>
          <w:sz w:val="20"/>
        </w:rPr>
        <w:lastRenderedPageBreak/>
        <w:t>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 xml:space="preserve">.1.8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r w:rsidRPr="0081195A">
        <w:rPr>
          <w:rFonts w:ascii="Arial" w:eastAsiaTheme="minorHAnsi" w:hAnsi="Arial" w:cs="Arial"/>
          <w:b/>
          <w:spacing w:val="-3"/>
          <w:sz w:val="20"/>
          <w:highlight w:val="cyan"/>
        </w:rPr>
        <w:t>:</w:t>
      </w:r>
      <w:r w:rsidRPr="0081195A">
        <w:rPr>
          <w:rFonts w:ascii="Arial" w:eastAsiaTheme="minorHAnsi" w:hAnsi="Arial" w:cs="Arial"/>
          <w:sz w:val="20"/>
        </w:rPr>
        <w:t>11.1.9</w:t>
      </w:r>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lastRenderedPageBreak/>
        <w:t xml:space="preserve">First and </w:t>
      </w:r>
      <w:proofErr w:type="gramStart"/>
      <w:r w:rsidRPr="0081195A">
        <w:rPr>
          <w:rFonts w:ascii="Arial" w:eastAsiaTheme="minorHAnsi" w:hAnsi="Arial" w:cs="Arial"/>
          <w:sz w:val="20"/>
        </w:rPr>
        <w:t>Third Party</w:t>
      </w:r>
      <w:proofErr w:type="gramEnd"/>
      <w:r w:rsidRPr="0081195A">
        <w:rPr>
          <w:rFonts w:ascii="Arial" w:eastAsiaTheme="minorHAnsi" w:hAnsi="Arial" w:cs="Arial"/>
          <w:sz w:val="20"/>
        </w:rPr>
        <w:t xml:space="preserve">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 xml:space="preserve"> </w:t>
      </w:r>
    </w:p>
    <w:p w14:paraId="49B593AE" w14:textId="32F53D89"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71851EC0"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will be endorsed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will be canceled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Certificates of Insurance and Additional Insured Endorsements as required by this Agreement will be mailed, faxed, or emailed to the following University contact:</w:t>
      </w:r>
    </w:p>
    <w:p w14:paraId="2412D485" w14:textId="77777777" w:rsidR="00A02F4F" w:rsidRPr="007A54A3" w:rsidRDefault="00A02F4F" w:rsidP="00A02F4F">
      <w:pPr>
        <w:ind w:left="2160"/>
        <w:contextualSpacing/>
        <w:jc w:val="both"/>
        <w:rPr>
          <w:rFonts w:ascii="Arial" w:hAnsi="Arial" w:cs="Arial"/>
          <w:sz w:val="20"/>
        </w:rPr>
      </w:pPr>
    </w:p>
    <w:p w14:paraId="53010551" w14:textId="77777777" w:rsidR="009A2F02" w:rsidRPr="007A54A3" w:rsidRDefault="009A2F02" w:rsidP="009A2F02">
      <w:pPr>
        <w:ind w:left="2880"/>
        <w:jc w:val="both"/>
        <w:rPr>
          <w:rFonts w:ascii="Arial" w:hAnsi="Arial" w:cs="Arial"/>
          <w:sz w:val="20"/>
        </w:rPr>
      </w:pPr>
      <w:r w:rsidRPr="007A54A3">
        <w:rPr>
          <w:rFonts w:ascii="Arial" w:hAnsi="Arial" w:cs="Arial"/>
          <w:sz w:val="20"/>
        </w:rPr>
        <w:t xml:space="preserve">Name: </w:t>
      </w:r>
      <w:r>
        <w:rPr>
          <w:rFonts w:ascii="Arial" w:hAnsi="Arial" w:cs="Arial"/>
          <w:sz w:val="20"/>
        </w:rPr>
        <w:tab/>
      </w:r>
      <w:r>
        <w:rPr>
          <w:rFonts w:ascii="Arial" w:hAnsi="Arial" w:cs="Arial"/>
          <w:sz w:val="20"/>
        </w:rPr>
        <w:tab/>
      </w:r>
      <w:r>
        <w:rPr>
          <w:rFonts w:ascii="Arial" w:hAnsi="Arial" w:cs="Arial"/>
          <w:sz w:val="20"/>
        </w:rPr>
        <w:tab/>
        <w:t>UTHealth Procurement Services</w:t>
      </w:r>
    </w:p>
    <w:p w14:paraId="6935CCFD" w14:textId="77777777" w:rsidR="009A2F02" w:rsidRDefault="009A2F02" w:rsidP="009A2F02">
      <w:pPr>
        <w:ind w:left="2880"/>
        <w:jc w:val="both"/>
        <w:rPr>
          <w:rFonts w:ascii="Arial" w:hAnsi="Arial" w:cs="Arial"/>
          <w:sz w:val="20"/>
        </w:rPr>
      </w:pPr>
      <w:r w:rsidRPr="007A54A3">
        <w:rPr>
          <w:rFonts w:ascii="Arial" w:hAnsi="Arial" w:cs="Arial"/>
          <w:sz w:val="20"/>
        </w:rPr>
        <w:t>Address:</w:t>
      </w:r>
      <w:r>
        <w:rPr>
          <w:rFonts w:ascii="Arial" w:hAnsi="Arial" w:cs="Arial"/>
          <w:sz w:val="20"/>
        </w:rPr>
        <w:t xml:space="preserve"> </w:t>
      </w:r>
      <w:r>
        <w:rPr>
          <w:rFonts w:ascii="Arial" w:hAnsi="Arial" w:cs="Arial"/>
          <w:sz w:val="20"/>
        </w:rPr>
        <w:tab/>
      </w:r>
      <w:r>
        <w:rPr>
          <w:rFonts w:ascii="Arial" w:hAnsi="Arial" w:cs="Arial"/>
          <w:sz w:val="20"/>
        </w:rPr>
        <w:tab/>
        <w:t>1851 Crosspoint, OCB 1.160</w:t>
      </w:r>
    </w:p>
    <w:p w14:paraId="5005FA93" w14:textId="77777777" w:rsidR="009A2F02" w:rsidRPr="007A54A3" w:rsidRDefault="009A2F02" w:rsidP="009A2F02">
      <w:pPr>
        <w:ind w:left="2880"/>
        <w:jc w:val="both"/>
        <w:rPr>
          <w:rFonts w:ascii="Arial" w:hAnsi="Arial" w:cs="Arial"/>
          <w:sz w:val="20"/>
        </w:rPr>
      </w:pPr>
      <w:r>
        <w:rPr>
          <w:rFonts w:ascii="Arial" w:hAnsi="Arial" w:cs="Arial"/>
          <w:sz w:val="20"/>
        </w:rPr>
        <w:tab/>
        <w:t xml:space="preserve">   </w:t>
      </w:r>
      <w:r>
        <w:rPr>
          <w:rFonts w:ascii="Arial" w:hAnsi="Arial" w:cs="Arial"/>
          <w:sz w:val="20"/>
        </w:rPr>
        <w:tab/>
      </w:r>
      <w:r>
        <w:rPr>
          <w:rFonts w:ascii="Arial" w:hAnsi="Arial" w:cs="Arial"/>
          <w:sz w:val="20"/>
        </w:rPr>
        <w:tab/>
        <w:t>Houston, Texas 77054</w:t>
      </w:r>
    </w:p>
    <w:p w14:paraId="106AAC20" w14:textId="77777777" w:rsidR="009A2F02" w:rsidRPr="007A54A3" w:rsidRDefault="009A2F02" w:rsidP="009A2F02">
      <w:pPr>
        <w:ind w:left="2880"/>
        <w:jc w:val="both"/>
        <w:rPr>
          <w:rFonts w:ascii="Arial" w:hAnsi="Arial" w:cs="Arial"/>
          <w:sz w:val="20"/>
        </w:rPr>
      </w:pPr>
      <w:r w:rsidRPr="007A54A3">
        <w:rPr>
          <w:rFonts w:ascii="Arial" w:hAnsi="Arial" w:cs="Arial"/>
          <w:sz w:val="20"/>
        </w:rPr>
        <w:t>Facsimile Number:</w:t>
      </w:r>
      <w:r>
        <w:rPr>
          <w:rFonts w:ascii="Arial" w:hAnsi="Arial" w:cs="Arial"/>
          <w:sz w:val="20"/>
        </w:rPr>
        <w:t xml:space="preserve"> </w:t>
      </w:r>
      <w:r>
        <w:rPr>
          <w:rFonts w:ascii="Arial" w:hAnsi="Arial" w:cs="Arial"/>
          <w:sz w:val="20"/>
        </w:rPr>
        <w:tab/>
        <w:t>713-500-4710</w:t>
      </w:r>
    </w:p>
    <w:p w14:paraId="675A0F7B" w14:textId="0510C2F2" w:rsidR="009A2F02" w:rsidRDefault="009A2F02" w:rsidP="009A2F02">
      <w:pPr>
        <w:ind w:left="2880"/>
        <w:jc w:val="both"/>
        <w:rPr>
          <w:rStyle w:val="Hyperlink"/>
          <w:rFonts w:ascii="Arial" w:hAnsi="Arial" w:cs="Arial"/>
          <w:sz w:val="20"/>
        </w:rPr>
      </w:pPr>
      <w:r w:rsidRPr="007A54A3">
        <w:rPr>
          <w:rFonts w:ascii="Arial" w:hAnsi="Arial" w:cs="Arial"/>
          <w:sz w:val="20"/>
        </w:rPr>
        <w:t xml:space="preserve">Email Address: </w:t>
      </w:r>
      <w:r>
        <w:rPr>
          <w:rFonts w:ascii="Arial" w:hAnsi="Arial" w:cs="Arial"/>
          <w:sz w:val="20"/>
        </w:rPr>
        <w:tab/>
      </w:r>
      <w:r>
        <w:rPr>
          <w:rFonts w:ascii="Arial" w:hAnsi="Arial" w:cs="Arial"/>
          <w:sz w:val="20"/>
        </w:rPr>
        <w:tab/>
      </w:r>
      <w:hyperlink r:id="rId23" w:history="1">
        <w:r w:rsidRPr="00F60B71">
          <w:rPr>
            <w:rStyle w:val="Hyperlink"/>
            <w:rFonts w:ascii="Arial" w:hAnsi="Arial" w:cs="Arial"/>
            <w:sz w:val="20"/>
          </w:rPr>
          <w:t>procurementservices@uth.tmc.edu</w:t>
        </w:r>
      </w:hyperlink>
    </w:p>
    <w:p w14:paraId="6F13688C" w14:textId="77777777" w:rsidR="009A2F02" w:rsidRDefault="009A2F02" w:rsidP="009A2F02">
      <w:pPr>
        <w:ind w:left="2880"/>
        <w:jc w:val="both"/>
        <w:rPr>
          <w:rFonts w:ascii="Arial" w:hAnsi="Arial" w:cs="Arial"/>
          <w:sz w:val="20"/>
        </w:rPr>
      </w:pPr>
    </w:p>
    <w:p w14:paraId="5CA88AA2" w14:textId="409CD37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r>
      <w:r w:rsidR="00C72138" w:rsidRPr="00E17CAA">
        <w:rPr>
          <w:rFonts w:ascii="Arial" w:hAnsi="Arial" w:cs="Arial"/>
          <w:sz w:val="20"/>
        </w:rPr>
        <w:t>Contractor’s or subcontractor’s insurance will be primary to any insurance carried or self-insurance program established by University or</w:t>
      </w:r>
      <w:r w:rsidR="009A2F02">
        <w:rPr>
          <w:rFonts w:ascii="Arial" w:hAnsi="Arial" w:cs="Arial"/>
          <w:sz w:val="20"/>
        </w:rPr>
        <w:t xml:space="preserve">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proofErr w:type="gramStart"/>
      <w:r w:rsidR="00C72138" w:rsidRPr="00E17CAA">
        <w:rPr>
          <w:rFonts w:ascii="Arial" w:hAnsi="Arial" w:cs="Arial"/>
          <w:b/>
          <w:sz w:val="20"/>
          <w:highlight w:val="cyan"/>
        </w:rPr>
        <w:t>:</w:t>
      </w:r>
      <w:r w:rsidR="00C72138" w:rsidRPr="00E17CAA">
        <w:rPr>
          <w:rFonts w:ascii="Arial" w:hAnsi="Arial" w:cs="Arial"/>
          <w:sz w:val="20"/>
        </w:rPr>
        <w:t xml:space="preserve"> ,</w:t>
      </w:r>
      <w:proofErr w:type="gramEnd"/>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 xml:space="preserve">.3.1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 xml:space="preserve">.3.2 Directors and Officers Liability Insurance coverage written on a </w:t>
      </w:r>
      <w:proofErr w:type="gramStart"/>
      <w:r w:rsidR="00C72138" w:rsidRPr="00E17CAA">
        <w:rPr>
          <w:rFonts w:ascii="Arial" w:hAnsi="Arial" w:cs="Arial"/>
          <w:sz w:val="20"/>
        </w:rPr>
        <w:t>claims</w:t>
      </w:r>
      <w:proofErr w:type="gramEnd"/>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lastRenderedPageBreak/>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7777777"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___________ County </w:t>
      </w:r>
      <w:r w:rsidR="003A440A">
        <w:rPr>
          <w:rFonts w:ascii="Arial" w:hAnsi="Arial" w:cs="Arial"/>
          <w:b/>
          <w:bCs/>
          <w:spacing w:val="-3"/>
          <w:sz w:val="20"/>
          <w:highlight w:val="yellow"/>
        </w:rPr>
        <w:t>[</w:t>
      </w:r>
      <w:r w:rsidR="003A440A">
        <w:rPr>
          <w:rFonts w:ascii="Arial" w:hAnsi="Arial" w:cs="Arial"/>
          <w:b/>
          <w:bCs/>
          <w:spacing w:val="-3"/>
          <w:sz w:val="20"/>
          <w:highlight w:val="yellow"/>
          <w:u w:val="single"/>
        </w:rPr>
        <w:t>Note</w:t>
      </w:r>
      <w:r w:rsidR="003A440A">
        <w:rPr>
          <w:rFonts w:ascii="Arial" w:hAnsi="Arial" w:cs="Arial"/>
          <w:b/>
          <w:bCs/>
          <w:spacing w:val="-3"/>
          <w:sz w:val="20"/>
          <w:highlight w:val="yellow"/>
        </w:rPr>
        <w:t>:  Insert “Travis” or county in which University is located.]</w:t>
      </w:r>
      <w:r w:rsidR="003A440A">
        <w:rPr>
          <w:rFonts w:ascii="Arial" w:hAnsi="Arial" w:cs="Arial"/>
          <w:spacing w:val="-3"/>
          <w:sz w:val="20"/>
        </w:rPr>
        <w:t xml:space="preserve">, Texas,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will be construed, interpreted and applied in accordance with, governed by and enforced under, the laws of the State of Texas.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 xml:space="preserve">nd Security </w:t>
      </w:r>
      <w:r w:rsidR="00053E6D" w:rsidRPr="007A54A3">
        <w:rPr>
          <w:rFonts w:ascii="Arial" w:hAnsi="Arial" w:cs="Arial"/>
          <w:b/>
          <w:sz w:val="20"/>
          <w:highlight w:val="yellow"/>
        </w:rPr>
        <w:lastRenderedPageBreak/>
        <w:t>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w:t>
      </w:r>
      <w:r w:rsidR="00580543" w:rsidRPr="007A54A3">
        <w:rPr>
          <w:rFonts w:ascii="Arial" w:hAnsi="Arial" w:cs="Arial"/>
          <w:sz w:val="20"/>
        </w:rPr>
        <w:lastRenderedPageBreak/>
        <w:t xml:space="preserve">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defined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bookmarkStart w:id="6" w:name="_Hlk29550562"/>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r w:rsidR="00CB1B01" w:rsidRPr="00E07694">
          <w:rPr>
            <w:rStyle w:val="Hyperlink"/>
            <w:rFonts w:ascii="Arial" w:hAnsi="Arial" w:cs="Arial"/>
            <w:i/>
            <w:sz w:val="20"/>
          </w:rPr>
          <w:t>Texas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bookmarkEnd w:id="6"/>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lastRenderedPageBreak/>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23577936" w14:textId="77777777" w:rsidR="009A2F02" w:rsidRPr="00855737" w:rsidRDefault="00371A6A"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sidR="009A2F02" w:rsidRPr="00855737">
        <w:rPr>
          <w:rFonts w:ascii="Arial" w:hAnsi="Arial" w:cs="Arial"/>
          <w:spacing w:val="-3"/>
          <w:sz w:val="20"/>
        </w:rPr>
        <w:t>The University of Texas Health Science Center at Houston</w:t>
      </w:r>
    </w:p>
    <w:p w14:paraId="6DD1E328"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Procurement Services</w:t>
      </w:r>
    </w:p>
    <w:p w14:paraId="28046DDE"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 xml:space="preserve">1851 </w:t>
      </w:r>
      <w:proofErr w:type="gramStart"/>
      <w:r w:rsidRPr="00855737">
        <w:rPr>
          <w:rFonts w:ascii="Arial" w:hAnsi="Arial" w:cs="Arial"/>
          <w:spacing w:val="-3"/>
          <w:sz w:val="20"/>
        </w:rPr>
        <w:t>Crosspoint,  OCB</w:t>
      </w:r>
      <w:proofErr w:type="gramEnd"/>
      <w:r w:rsidRPr="00855737">
        <w:rPr>
          <w:rFonts w:ascii="Arial" w:hAnsi="Arial" w:cs="Arial"/>
          <w:spacing w:val="-3"/>
          <w:sz w:val="20"/>
        </w:rPr>
        <w:t>1.160</w:t>
      </w:r>
    </w:p>
    <w:p w14:paraId="4CF7ACB3"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Houston, Texas 77054</w:t>
      </w:r>
    </w:p>
    <w:p w14:paraId="54A91AB4"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Fax: 713-500-4710</w:t>
      </w:r>
    </w:p>
    <w:p w14:paraId="767256C3"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 xml:space="preserve">Email: </w:t>
      </w:r>
      <w:hyperlink r:id="rId45" w:history="1">
        <w:r w:rsidRPr="00855737">
          <w:rPr>
            <w:rStyle w:val="Hyperlink"/>
            <w:rFonts w:ascii="Arial" w:hAnsi="Arial" w:cs="Arial"/>
            <w:spacing w:val="-3"/>
            <w:sz w:val="20"/>
          </w:rPr>
          <w:t>procurementservices@uth.tmc.edu</w:t>
        </w:r>
      </w:hyperlink>
      <w:r w:rsidRPr="00855737">
        <w:rPr>
          <w:rFonts w:ascii="Arial" w:hAnsi="Arial" w:cs="Arial"/>
          <w:spacing w:val="-3"/>
          <w:sz w:val="20"/>
        </w:rPr>
        <w:t xml:space="preserve"> </w:t>
      </w:r>
    </w:p>
    <w:p w14:paraId="1B775BD9"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t>Attention: Procurement Services</w:t>
      </w:r>
    </w:p>
    <w:p w14:paraId="0CAF2E54" w14:textId="7CD8C701" w:rsidR="00371A6A" w:rsidRPr="007A54A3" w:rsidRDefault="00371A6A" w:rsidP="009A2F02">
      <w:pPr>
        <w:widowControl w:val="0"/>
        <w:numPr>
          <w:ilvl w:val="12"/>
          <w:numId w:val="0"/>
        </w:numPr>
        <w:tabs>
          <w:tab w:val="left" w:pos="-720"/>
          <w:tab w:val="left" w:pos="1080"/>
          <w:tab w:val="left" w:pos="1800"/>
        </w:tabs>
        <w:suppressAutoHyphens/>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with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r w:rsidRPr="007A54A3">
        <w:rPr>
          <w:rFonts w:cs="Arial"/>
          <w:sz w:val="20"/>
        </w:rPr>
        <w:t>or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5CD529AD" w14:textId="77777777" w:rsidR="006A3E5E" w:rsidRPr="007A54A3" w:rsidRDefault="00BF1691" w:rsidP="008D35A2">
      <w:pPr>
        <w:ind w:left="1440"/>
        <w:jc w:val="both"/>
        <w:rPr>
          <w:rFonts w:ascii="Arial" w:hAnsi="Arial" w:cs="Arial"/>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w:t>
      </w:r>
      <w:r w:rsidR="00D72692" w:rsidRPr="007A54A3">
        <w:rPr>
          <w:rFonts w:ascii="Arial" w:hAnsi="Arial" w:cs="Arial"/>
          <w:b/>
          <w:spacing w:val="-3"/>
          <w:sz w:val="20"/>
          <w:highlight w:val="cyan"/>
        </w:rPr>
        <w:t>when</w:t>
      </w:r>
      <w:r w:rsidRPr="007A54A3">
        <w:rPr>
          <w:rFonts w:ascii="Arial" w:hAnsi="Arial" w:cs="Arial"/>
          <w:b/>
          <w:sz w:val="20"/>
          <w:highlight w:val="cyan"/>
        </w:rPr>
        <w:t xml:space="preserve"> </w:t>
      </w:r>
      <w:r w:rsidR="00F45DEB" w:rsidRPr="007A54A3">
        <w:rPr>
          <w:rFonts w:ascii="Arial" w:hAnsi="Arial" w:cs="Arial"/>
          <w:b/>
          <w:sz w:val="20"/>
          <w:highlight w:val="cyan"/>
        </w:rPr>
        <w:t>Work</w:t>
      </w:r>
      <w:r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r w:rsidR="006A3E5E" w:rsidRPr="007A54A3">
        <w:rPr>
          <w:rFonts w:ascii="Arial" w:hAnsi="Arial" w:cs="Arial"/>
          <w:sz w:val="20"/>
        </w:rPr>
        <w:t xml:space="preserve">Contractor will receive no financial compensation for delay or hindrance to </w:t>
      </w:r>
      <w:r w:rsidR="00F45DEB" w:rsidRPr="007A54A3">
        <w:rPr>
          <w:rFonts w:ascii="Arial" w:hAnsi="Arial" w:cs="Arial"/>
          <w:sz w:val="20"/>
        </w:rPr>
        <w:t>Work</w:t>
      </w:r>
      <w:r w:rsidR="006A3E5E" w:rsidRPr="007A54A3">
        <w:rPr>
          <w:rFonts w:ascii="Arial" w:hAnsi="Arial" w:cs="Arial"/>
          <w:sz w:val="20"/>
        </w:rPr>
        <w:t xml:space="preserve">. In no event will University be liable to Contractor or </w:t>
      </w:r>
      <w:r w:rsidR="00B948B8" w:rsidRPr="007A54A3">
        <w:rPr>
          <w:rFonts w:ascii="Arial" w:hAnsi="Arial" w:cs="Arial"/>
          <w:sz w:val="20"/>
        </w:rPr>
        <w:t>its employees, agents, representatives or subcontractors</w:t>
      </w:r>
      <w:r w:rsidR="006A3E5E" w:rsidRPr="007A54A3">
        <w:rPr>
          <w:rFonts w:ascii="Arial" w:hAnsi="Arial" w:cs="Arial"/>
          <w:sz w:val="20"/>
        </w:rPr>
        <w:t xml:space="preserve">, for any damages arising out of or associated with any delay or hindrance to </w:t>
      </w:r>
      <w:r w:rsidR="00F45DEB" w:rsidRPr="007A54A3">
        <w:rPr>
          <w:rFonts w:ascii="Arial" w:hAnsi="Arial" w:cs="Arial"/>
          <w:sz w:val="20"/>
        </w:rPr>
        <w:t>Work</w:t>
      </w:r>
      <w:r w:rsidR="006A3E5E" w:rsidRPr="007A54A3">
        <w:rPr>
          <w:rFonts w:ascii="Arial" w:hAnsi="Arial" w:cs="Arial"/>
          <w:sz w:val="20"/>
        </w:rPr>
        <w:t>, regardless of the source of the delay or hindrance, including</w:t>
      </w:r>
      <w:r w:rsidR="007E64E8" w:rsidRPr="007A54A3">
        <w:rPr>
          <w:rFonts w:ascii="Arial" w:hAnsi="Arial" w:cs="Arial"/>
          <w:sz w:val="20"/>
        </w:rPr>
        <w:t xml:space="preserve"> a </w:t>
      </w:r>
      <w:r w:rsidR="007E64E8" w:rsidRPr="007A54A3">
        <w:rPr>
          <w:rFonts w:ascii="Arial" w:hAnsi="Arial" w:cs="Arial"/>
          <w:spacing w:val="-3"/>
          <w:sz w:val="20"/>
        </w:rPr>
        <w:t>force majeure occurrence</w:t>
      </w:r>
      <w:r w:rsidR="006A3E5E" w:rsidRPr="007A54A3">
        <w:rPr>
          <w:rFonts w:ascii="Arial" w:hAnsi="Arial" w:cs="Arial"/>
          <w:sz w:val="20"/>
        </w:rPr>
        <w:t>, and even if such delay or hindrance results from, arises out of</w:t>
      </w:r>
      <w:r w:rsidR="0099736B" w:rsidRPr="007A54A3">
        <w:rPr>
          <w:rFonts w:ascii="Arial" w:hAnsi="Arial" w:cs="Arial"/>
          <w:sz w:val="20"/>
        </w:rPr>
        <w:t>,</w:t>
      </w:r>
      <w:r w:rsidR="006A3E5E" w:rsidRPr="007A54A3">
        <w:rPr>
          <w:rFonts w:ascii="Arial" w:hAnsi="Arial" w:cs="Arial"/>
          <w:sz w:val="20"/>
        </w:rPr>
        <w:t xml:space="preserve"> or is due, in whole or in part, to the </w:t>
      </w:r>
      <w:r w:rsidR="006A3E5E" w:rsidRPr="007A54A3">
        <w:rPr>
          <w:rFonts w:ascii="Arial" w:hAnsi="Arial" w:cs="Arial"/>
          <w:sz w:val="20"/>
        </w:rPr>
        <w:lastRenderedPageBreak/>
        <w:t xml:space="preserve">negligence, breach of contract or other fault of University. Contractor’s sole remedy in any such case </w:t>
      </w:r>
      <w:r w:rsidR="008D35A2" w:rsidRPr="007A54A3">
        <w:rPr>
          <w:rFonts w:ascii="Arial" w:hAnsi="Arial" w:cs="Arial"/>
          <w:sz w:val="20"/>
        </w:rPr>
        <w:t>will</w:t>
      </w:r>
      <w:r w:rsidR="006A3E5E" w:rsidRPr="007A54A3">
        <w:rPr>
          <w:rFonts w:ascii="Arial" w:hAnsi="Arial" w:cs="Arial"/>
          <w:sz w:val="20"/>
        </w:rPr>
        <w:t xml:space="preserve"> be an extension of time.</w:t>
      </w:r>
    </w:p>
    <w:p w14:paraId="78ACBDBE" w14:textId="77777777" w:rsidR="00F9759F" w:rsidRPr="007A54A3" w:rsidRDefault="009A096E" w:rsidP="008D35A2">
      <w:pPr>
        <w:tabs>
          <w:tab w:val="left" w:pos="-720"/>
          <w:tab w:val="left" w:pos="0"/>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p>
    <w:p w14:paraId="15F82873" w14:textId="77777777"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r w:rsidRPr="007A54A3">
        <w:rPr>
          <w:rFonts w:ascii="Arial" w:hAnsi="Arial" w:cs="Arial"/>
          <w:spacing w:val="-3"/>
          <w:sz w:val="20"/>
        </w:rPr>
        <w:t>In any action</w:t>
      </w:r>
      <w:r w:rsidR="00B831ED" w:rsidRPr="007A54A3">
        <w:rPr>
          <w:rFonts w:ascii="Arial" w:hAnsi="Arial" w:cs="Arial"/>
          <w:spacing w:val="-3"/>
          <w:sz w:val="20"/>
        </w:rPr>
        <w:t xml:space="preserve"> </w:t>
      </w:r>
      <w:r w:rsidRPr="007A54A3">
        <w:rPr>
          <w:rFonts w:ascii="Arial" w:hAnsi="Arial" w:cs="Arial"/>
          <w:spacing w:val="-3"/>
          <w:sz w:val="20"/>
        </w:rPr>
        <w:t>or suit to enforce any right or remedy under this Agreement or to interpret any provision of this Agreement, neither party will be entitled to recover attorneys</w:t>
      </w:r>
      <w:r w:rsidR="00D85851" w:rsidRPr="007A54A3">
        <w:rPr>
          <w:rFonts w:ascii="Arial" w:hAnsi="Arial" w:cs="Arial"/>
          <w:spacing w:val="-3"/>
          <w:sz w:val="20"/>
        </w:rPr>
        <w:t>’</w:t>
      </w:r>
      <w:r w:rsidRPr="007A54A3">
        <w:rPr>
          <w:rFonts w:ascii="Arial" w:hAnsi="Arial" w:cs="Arial"/>
          <w:spacing w:val="-3"/>
          <w:sz w:val="20"/>
        </w:rPr>
        <w:t xml:space="preserve"> fees, costs or other related expenses</w:t>
      </w:r>
      <w:r w:rsidR="00BC58AD" w:rsidRPr="007A54A3">
        <w:rPr>
          <w:rFonts w:ascii="Arial" w:hAnsi="Arial" w:cs="Arial"/>
          <w:spacing w:val="-3"/>
          <w:sz w:val="20"/>
        </w:rPr>
        <w:t xml:space="preserve"> from the other party</w:t>
      </w:r>
      <w:r w:rsidRPr="007A54A3">
        <w:rPr>
          <w:rFonts w:ascii="Arial" w:hAnsi="Arial" w:cs="Arial"/>
          <w:spacing w:val="-3"/>
          <w:sz w:val="20"/>
        </w:rPr>
        <w:t>.</w:t>
      </w:r>
      <w:r w:rsidR="007E1AC0" w:rsidRPr="007A54A3">
        <w:rPr>
          <w:rFonts w:ascii="Arial" w:hAnsi="Arial" w:cs="Arial"/>
          <w:b/>
          <w:spacing w:val="-3"/>
          <w:sz w:val="20"/>
          <w:highlight w:val="cyan"/>
        </w:rPr>
        <w:t>]</w:t>
      </w:r>
    </w:p>
    <w:p w14:paraId="6C347228" w14:textId="77777777"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 xml:space="preserve">attempt to resolve any claim for breach of contract made by Contractor: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r w:rsidR="00D84423" w:rsidRPr="007A54A3">
        <w:rPr>
          <w:rFonts w:ascii="Arial" w:hAnsi="Arial" w:cs="Arial"/>
          <w:sz w:val="20"/>
        </w:rPr>
        <w:t>will</w:t>
      </w:r>
      <w:r w:rsidR="00F9759F" w:rsidRPr="007A54A3">
        <w:rPr>
          <w:rFonts w:ascii="Arial" w:hAnsi="Arial" w:cs="Arial"/>
          <w:sz w:val="20"/>
        </w:rPr>
        <w:t xml:space="preserve"> be submitted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 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greement for notice and cure of defaults are not waived.</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w:t>
      </w:r>
      <w:proofErr w:type="gramStart"/>
      <w:r w:rsidRPr="007A54A3">
        <w:rPr>
          <w:rFonts w:ascii="Arial" w:hAnsi="Arial" w:cs="Arial"/>
          <w:sz w:val="20"/>
        </w:rPr>
        <w:t>is in compliance with</w:t>
      </w:r>
      <w:proofErr w:type="gramEnd"/>
      <w:r w:rsidRPr="007A54A3">
        <w:rPr>
          <w:rFonts w:ascii="Arial" w:hAnsi="Arial" w:cs="Arial"/>
          <w:sz w:val="20"/>
        </w:rPr>
        <w:t xml:space="preserve">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lastRenderedPageBreak/>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785473C4"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1E4D43" w:rsidRPr="007A54A3">
        <w:rPr>
          <w:rFonts w:ascii="Arial" w:hAnsi="Arial" w:cs="Arial"/>
          <w:b/>
          <w:bCs/>
          <w:sz w:val="20"/>
        </w:rPr>
        <w:t>Ethics Matters;</w:t>
      </w:r>
      <w:r w:rsidR="001E4D43" w:rsidRPr="007A54A3">
        <w:rPr>
          <w:rFonts w:ascii="Arial" w:hAnsi="Arial" w:cs="Arial"/>
          <w:sz w:val="20"/>
        </w:rPr>
        <w:t xml:space="preserve"> </w:t>
      </w:r>
      <w:r w:rsidR="001E4D43" w:rsidRPr="007A54A3">
        <w:rPr>
          <w:rFonts w:ascii="Arial" w:hAnsi="Arial" w:cs="Arial"/>
          <w:b/>
          <w:bCs/>
          <w:sz w:val="20"/>
        </w:rPr>
        <w:t>No Financial Interest.</w:t>
      </w:r>
      <w:r w:rsidR="001E4D43" w:rsidRPr="007A54A3">
        <w:rPr>
          <w:rFonts w:ascii="Arial" w:hAnsi="Arial" w:cs="Arial"/>
          <w:sz w:val="20"/>
        </w:rPr>
        <w:t xml:space="preserve"> </w:t>
      </w:r>
      <w:r w:rsidR="00F82C72" w:rsidRPr="007A54A3">
        <w:rPr>
          <w:rFonts w:ascii="Arial" w:hAnsi="Arial" w:cs="Arial"/>
          <w:sz w:val="20"/>
        </w:rPr>
        <w:t xml:space="preserve">Contractor and its employees, agents, representatives and subcontractors have read and understand University’s Conflicts of Interest Policy at </w:t>
      </w:r>
      <w:hyperlink r:id="rId66" w:history="1">
        <w:r w:rsidR="009A2F02" w:rsidRPr="005D40D6">
          <w:rPr>
            <w:rStyle w:val="Hyperlink"/>
            <w:rFonts w:ascii="Arial" w:hAnsi="Arial" w:cs="Arial"/>
            <w:sz w:val="20"/>
          </w:rPr>
          <w:t>http://www.uthouston.edu/hoop/policy.htm?id=1447888</w:t>
        </w:r>
      </w:hyperlink>
      <w:r w:rsidR="009A2F02" w:rsidRPr="009A2F02">
        <w:rPr>
          <w:rFonts w:ascii="Arial" w:hAnsi="Arial" w:cs="Arial"/>
          <w:b/>
          <w:bCs/>
          <w:sz w:val="20"/>
        </w:rPr>
        <w:t>.</w:t>
      </w:r>
      <w:r w:rsidR="009A2F02">
        <w:rPr>
          <w:rFonts w:ascii="Arial" w:hAnsi="Arial" w:cs="Arial"/>
          <w:b/>
          <w:bCs/>
          <w:sz w:val="20"/>
        </w:rPr>
        <w:t xml:space="preserve"> </w:t>
      </w:r>
      <w:r w:rsidR="00F82C72" w:rsidRPr="007A54A3">
        <w:rPr>
          <w:rFonts w:ascii="Arial" w:hAnsi="Arial" w:cs="Arial"/>
          <w:sz w:val="20"/>
        </w:rPr>
        <w:t xml:space="preserve">University’s Standards of Conduct Guide at </w:t>
      </w:r>
      <w:hyperlink r:id="rId67" w:history="1">
        <w:r w:rsidR="009A2F02" w:rsidRPr="005D40D6">
          <w:rPr>
            <w:rStyle w:val="Hyperlink"/>
            <w:rFonts w:ascii="Arial" w:hAnsi="Arial" w:cs="Arial"/>
            <w:sz w:val="20"/>
          </w:rPr>
          <w:t>http://www.uthouston.edu/hoop/standards-of-conduct-guide.htm</w:t>
        </w:r>
      </w:hyperlink>
      <w:r w:rsidR="009A2F02" w:rsidRPr="009A2F02">
        <w:rPr>
          <w:rFonts w:ascii="Arial" w:hAnsi="Arial" w:cs="Arial"/>
          <w:b/>
          <w:bCs/>
          <w:sz w:val="20"/>
        </w:rPr>
        <w:t xml:space="preserve"> </w:t>
      </w:r>
      <w:r w:rsidR="00F82C72" w:rsidRPr="007A54A3">
        <w:rPr>
          <w:rFonts w:ascii="Arial" w:hAnsi="Arial" w:cs="Arial"/>
          <w:sz w:val="20"/>
        </w:rPr>
        <w:t>and applicable state ethics laws and rules at</w:t>
      </w:r>
      <w:r w:rsidR="000C4370">
        <w:rPr>
          <w:rFonts w:ascii="Arial" w:hAnsi="Arial" w:cs="Arial"/>
          <w:sz w:val="20"/>
        </w:rPr>
        <w:t xml:space="preserve"> </w:t>
      </w:r>
      <w:hyperlink r:id="rId68" w:history="1">
        <w:r w:rsidR="000C4370" w:rsidRPr="0024310D">
          <w:rPr>
            <w:rStyle w:val="Hyperlink"/>
            <w:rFonts w:ascii="Arial" w:hAnsi="Arial" w:cs="Arial"/>
            <w:sz w:val="20"/>
          </w:rPr>
          <w:t>https://www.utsystem.edu/offices/systemwide-compliance/ethics</w:t>
        </w:r>
      </w:hyperlink>
      <w:r w:rsidR="00F82C72" w:rsidRPr="007A54A3">
        <w:rPr>
          <w:rFonts w:ascii="Arial" w:hAnsi="Arial" w:cs="Arial"/>
          <w:color w:val="000000"/>
          <w:sz w:val="20"/>
        </w:rPr>
        <w:t>. Ne</w:t>
      </w:r>
      <w:r w:rsidR="00F82C72"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and, after 12/31/2017, see Section 5 of HB 1295 amending Section 2252.908(c), Gov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 xml:space="preserve">Contractor </w:t>
      </w:r>
      <w:r w:rsidR="002541FD" w:rsidRPr="007A54A3">
        <w:rPr>
          <w:rFonts w:ascii="Arial" w:hAnsi="Arial" w:cs="Arial"/>
          <w:bCs/>
          <w:spacing w:val="-3"/>
          <w:sz w:val="20"/>
        </w:rPr>
        <w:lastRenderedPageBreak/>
        <w:t>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[NOTE: 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r w:rsidRPr="007A54A3">
        <w:rPr>
          <w:rFonts w:ascii="Arial" w:hAnsi="Arial" w:cs="Arial"/>
          <w:bCs/>
          <w:sz w:val="20"/>
        </w:rPr>
        <w:t>12.26</w:t>
      </w:r>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 xml:space="preserve">Contractor will use good faith efforts to subcontract work performed under this Agreement in accordance with the Historically Underutilized Business </w:t>
      </w:r>
      <w:r w:rsidR="00F373B0" w:rsidRPr="007A54A3">
        <w:rPr>
          <w:rFonts w:ascii="Arial" w:hAnsi="Arial" w:cs="Arial"/>
          <w:spacing w:val="-3"/>
          <w:sz w:val="20"/>
        </w:rPr>
        <w:lastRenderedPageBreak/>
        <w:t>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proofErr w:type="gramStart"/>
      <w:r w:rsidR="00F373B0" w:rsidRPr="007A54A3">
        <w:rPr>
          <w:rFonts w:ascii="Arial" w:hAnsi="Arial" w:cs="Arial"/>
          <w:b/>
          <w:spacing w:val="-3"/>
          <w:sz w:val="20"/>
          <w:u w:val="single"/>
        </w:rPr>
        <w:t xml:space="preserve">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w:t>
      </w:r>
      <w:proofErr w:type="gramEnd"/>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Except as specifically provided in the HSP, Contractor will not subcontract any of its duties or obligations under this Agreement, in whole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448434C9" w:rsidR="00E673AD" w:rsidRPr="00B27F4E" w:rsidRDefault="00E673AD" w:rsidP="00B27F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b/>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14:paraId="66F727A8" w14:textId="3E311E23"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w:t>
      </w:r>
      <w:proofErr w:type="gramStart"/>
      <w:r w:rsidRPr="007A54A3">
        <w:rPr>
          <w:rFonts w:ascii="Arial" w:hAnsi="Arial" w:cs="Arial"/>
          <w:color w:val="000000"/>
          <w:sz w:val="20"/>
        </w:rPr>
        <w:t>letter</w:t>
      </w:r>
      <w:proofErr w:type="gramEnd"/>
      <w:r w:rsidRPr="007A54A3">
        <w:rPr>
          <w:rFonts w:ascii="Arial" w:hAnsi="Arial" w:cs="Arial"/>
          <w:color w:val="000000"/>
          <w:sz w:val="20"/>
        </w:rPr>
        <w:t xml:space="preserve">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lastRenderedPageBreak/>
        <w:t>Nonsegregated</w:t>
      </w:r>
      <w:proofErr w:type="spellEnd"/>
      <w:r w:rsidRPr="001B2733">
        <w:rPr>
          <w:rFonts w:ascii="Arial" w:hAnsi="Arial" w:cs="Arial"/>
          <w:sz w:val="20"/>
        </w:rPr>
        <w:t xml:space="preserve">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420.300 et seq</w:t>
        </w:r>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lastRenderedPageBreak/>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lastRenderedPageBreak/>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null and void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clickwrap,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lastRenderedPageBreak/>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4A1BC9F3" w14:textId="77777777" w:rsidR="00AF1870" w:rsidRPr="00E31837" w:rsidRDefault="007B2461" w:rsidP="00AF1870">
      <w:pPr>
        <w:ind w:left="1440" w:hanging="720"/>
        <w:jc w:val="both"/>
        <w:rPr>
          <w:rFonts w:eastAsia="Calibri"/>
          <w:sz w:val="20"/>
        </w:rPr>
      </w:pPr>
      <w:r>
        <w:rPr>
          <w:rFonts w:ascii="Arial" w:hAnsi="Arial" w:cs="Arial"/>
          <w:sz w:val="20"/>
        </w:rPr>
        <w:t>12.42</w:t>
      </w:r>
      <w:r>
        <w:rPr>
          <w:rFonts w:ascii="Arial" w:hAnsi="Arial" w:cs="Arial"/>
          <w:sz w:val="20"/>
        </w:rPr>
        <w:tab/>
      </w:r>
      <w:r w:rsidR="00AF1870" w:rsidRPr="00E31837">
        <w:rPr>
          <w:rFonts w:ascii="Arial" w:eastAsia="Calibri" w:hAnsi="Arial" w:cs="Arial"/>
          <w:b/>
          <w:bCs/>
          <w:sz w:val="20"/>
        </w:rPr>
        <w:t>Contractor Certification regarding Boycotting Israel.</w:t>
      </w:r>
      <w:r w:rsidR="00AF1870" w:rsidRPr="00E31837">
        <w:rPr>
          <w:rFonts w:ascii="Arial" w:eastAsia="Calibri" w:hAnsi="Arial" w:cs="Arial"/>
          <w:sz w:val="20"/>
        </w:rPr>
        <w:t xml:space="preserve"> </w:t>
      </w:r>
      <w:r w:rsidR="00AF1870" w:rsidRPr="00E31837">
        <w:rPr>
          <w:rFonts w:ascii="Arial" w:eastAsia="Calibri" w:hAnsi="Arial" w:cs="Arial"/>
          <w:spacing w:val="-3"/>
          <w:sz w:val="20"/>
        </w:rPr>
        <w:t xml:space="preserve">Pursuant to </w:t>
      </w:r>
      <w:hyperlink r:id="rId108" w:history="1">
        <w:r w:rsidR="00AF1870" w:rsidRPr="00E31837">
          <w:rPr>
            <w:rFonts w:ascii="Arial" w:eastAsia="Calibri" w:hAnsi="Arial" w:cs="Arial"/>
            <w:color w:val="0563C1"/>
            <w:spacing w:val="-3"/>
            <w:sz w:val="20"/>
            <w:u w:val="single"/>
          </w:rPr>
          <w:t xml:space="preserve">Chapter 2271, </w:t>
        </w:r>
        <w:r w:rsidR="00AF1870" w:rsidRPr="00E31837">
          <w:rPr>
            <w:rFonts w:ascii="Arial" w:eastAsia="Calibri" w:hAnsi="Arial" w:cs="Arial"/>
            <w:i/>
            <w:iCs/>
            <w:color w:val="0563C1"/>
            <w:spacing w:val="-3"/>
            <w:sz w:val="20"/>
            <w:u w:val="single"/>
          </w:rPr>
          <w:t>Texas Government Code</w:t>
        </w:r>
      </w:hyperlink>
      <w:r w:rsidR="00AF1870" w:rsidRPr="00E31837">
        <w:rPr>
          <w:rFonts w:ascii="Arial" w:eastAsia="Calibri" w:hAnsi="Arial" w:cs="Arial"/>
          <w:spacing w:val="-3"/>
          <w:sz w:val="20"/>
        </w:rPr>
        <w:t xml:space="preserve">, Contractor certifies Contractor (1) does not currently boycott Israel; and (2) will not boycott Israel during the Term of this Agreement. Contractor acknowledges this Agreement may be terminated and payment withheld if this certification is inaccurate.  </w:t>
      </w:r>
      <w:r w:rsidR="00AF1870" w:rsidRPr="00E31837">
        <w:rPr>
          <w:rFonts w:ascii="Arial" w:eastAsia="Calibri" w:hAnsi="Arial" w:cs="Arial"/>
          <w:b/>
          <w:bCs/>
          <w:sz w:val="20"/>
          <w:highlight w:val="yellow"/>
        </w:rPr>
        <w:t>[</w:t>
      </w:r>
      <w:r w:rsidR="00AF1870" w:rsidRPr="00E31837">
        <w:rPr>
          <w:rFonts w:ascii="Arial" w:eastAsia="Calibri" w:hAnsi="Arial" w:cs="Arial"/>
          <w:b/>
          <w:bCs/>
          <w:sz w:val="20"/>
          <w:highlight w:val="yellow"/>
          <w:u w:val="single"/>
        </w:rPr>
        <w:t>Note</w:t>
      </w:r>
      <w:r w:rsidR="00AF1870" w:rsidRPr="00E31837">
        <w:rPr>
          <w:rFonts w:ascii="Arial" w:eastAsia="Calibri" w:hAnsi="Arial" w:cs="Arial"/>
          <w:b/>
          <w:bCs/>
          <w:sz w:val="20"/>
          <w:highlight w:val="yellow"/>
        </w:rPr>
        <w:t xml:space="preserve">:  This provision should only be included in a contract that (1) has a value of $100,000 or more that is to be paid wholly or partly from public funds and (2) is with a for-profit entity, not including a sole proprietorship, that has 10 or more full time employees.  </w:t>
      </w:r>
      <w:hyperlink r:id="rId109" w:anchor="2271.002" w:history="1">
        <w:r w:rsidR="00AF1870" w:rsidRPr="00E31837">
          <w:rPr>
            <w:rFonts w:ascii="Arial" w:eastAsia="Calibri" w:hAnsi="Arial" w:cs="Arial"/>
            <w:b/>
            <w:bCs/>
            <w:color w:val="0563C1"/>
            <w:sz w:val="20"/>
            <w:highlight w:val="yellow"/>
            <w:u w:val="single"/>
          </w:rPr>
          <w:t xml:space="preserve">Section 2271.002, </w:t>
        </w:r>
        <w:r w:rsidR="00AF1870" w:rsidRPr="00E31837">
          <w:rPr>
            <w:rFonts w:ascii="Arial" w:eastAsia="Calibri" w:hAnsi="Arial" w:cs="Arial"/>
            <w:b/>
            <w:bCs/>
            <w:i/>
            <w:iCs/>
            <w:color w:val="0563C1"/>
            <w:sz w:val="20"/>
            <w:highlight w:val="yellow"/>
            <w:u w:val="single"/>
          </w:rPr>
          <w:t>Texas Government Code</w:t>
        </w:r>
      </w:hyperlink>
      <w:r w:rsidR="00AF1870" w:rsidRPr="00E31837">
        <w:rPr>
          <w:rFonts w:ascii="Arial" w:eastAsia="Calibri" w:hAnsi="Arial" w:cs="Arial"/>
          <w:b/>
          <w:bCs/>
          <w:sz w:val="20"/>
          <w:highlight w:val="yellow"/>
        </w:rPr>
        <w:t xml:space="preserve">, requires inclusion of this section in contracts between a governmental entity and a “company”.   </w:t>
      </w:r>
      <w:hyperlink r:id="rId110" w:anchor="2271.001" w:history="1">
        <w:r w:rsidR="00AF1870" w:rsidRPr="00E31837">
          <w:rPr>
            <w:rFonts w:ascii="Arial" w:eastAsia="Calibri" w:hAnsi="Arial" w:cs="Arial"/>
            <w:b/>
            <w:bCs/>
            <w:color w:val="0563C1"/>
            <w:sz w:val="20"/>
            <w:highlight w:val="yellow"/>
            <w:u w:val="single"/>
          </w:rPr>
          <w:t xml:space="preserve">Section 2271.001(2), </w:t>
        </w:r>
        <w:r w:rsidR="00AF1870" w:rsidRPr="00E31837">
          <w:rPr>
            <w:rFonts w:ascii="Arial" w:eastAsia="Calibri" w:hAnsi="Arial" w:cs="Arial"/>
            <w:b/>
            <w:bCs/>
            <w:i/>
            <w:iCs/>
            <w:color w:val="0563C1"/>
            <w:sz w:val="20"/>
            <w:highlight w:val="yellow"/>
            <w:u w:val="single"/>
          </w:rPr>
          <w:t>Texas Government Code</w:t>
        </w:r>
      </w:hyperlink>
      <w:r w:rsidR="00AF1870" w:rsidRPr="00E31837">
        <w:rPr>
          <w:rFonts w:ascii="Arial" w:eastAsia="Calibri" w:hAnsi="Arial" w:cs="Arial"/>
          <w:b/>
          <w:bCs/>
          <w:sz w:val="20"/>
          <w:highlight w:val="yellow"/>
        </w:rPr>
        <w:t xml:space="preserve">, defines “company” to have the meaning assigned by </w:t>
      </w:r>
      <w:hyperlink r:id="rId111" w:anchor="808.001" w:history="1">
        <w:r w:rsidR="00AF1870" w:rsidRPr="00E31837">
          <w:rPr>
            <w:rFonts w:ascii="Arial" w:eastAsia="Calibri" w:hAnsi="Arial" w:cs="Arial"/>
            <w:b/>
            <w:bCs/>
            <w:color w:val="0563C1"/>
            <w:sz w:val="20"/>
            <w:highlight w:val="yellow"/>
            <w:u w:val="single"/>
          </w:rPr>
          <w:t xml:space="preserve">Section 808.001, </w:t>
        </w:r>
        <w:r w:rsidR="00AF1870" w:rsidRPr="00E31837">
          <w:rPr>
            <w:rFonts w:ascii="Arial" w:eastAsia="Calibri" w:hAnsi="Arial" w:cs="Arial"/>
            <w:b/>
            <w:bCs/>
            <w:i/>
            <w:iCs/>
            <w:color w:val="0563C1"/>
            <w:sz w:val="20"/>
            <w:highlight w:val="yellow"/>
            <w:u w:val="single"/>
          </w:rPr>
          <w:t>Texas</w:t>
        </w:r>
        <w:r w:rsidR="00AF1870" w:rsidRPr="00E31837">
          <w:rPr>
            <w:rFonts w:ascii="Arial" w:eastAsia="Calibri" w:hAnsi="Arial" w:cs="Arial"/>
            <w:b/>
            <w:bCs/>
            <w:color w:val="0563C1"/>
            <w:sz w:val="20"/>
            <w:highlight w:val="yellow"/>
            <w:u w:val="single"/>
          </w:rPr>
          <w:t xml:space="preserve"> </w:t>
        </w:r>
        <w:r w:rsidR="00AF1870" w:rsidRPr="00E31837">
          <w:rPr>
            <w:rFonts w:ascii="Arial" w:eastAsia="Calibri" w:hAnsi="Arial" w:cs="Arial"/>
            <w:b/>
            <w:bCs/>
            <w:i/>
            <w:iCs/>
            <w:color w:val="0563C1"/>
            <w:sz w:val="20"/>
            <w:highlight w:val="yellow"/>
            <w:u w:val="single"/>
          </w:rPr>
          <w:t>Government Code</w:t>
        </w:r>
      </w:hyperlink>
      <w:r w:rsidR="00AF1870" w:rsidRPr="00E31837">
        <w:rPr>
          <w:rFonts w:ascii="Arial" w:eastAsia="Calibri" w:hAnsi="Arial" w:cs="Arial"/>
          <w:b/>
          <w:bCs/>
          <w:sz w:val="20"/>
          <w:highlight w:val="yellow"/>
        </w:rPr>
        <w:t>, not including a sole proprietorship.  Section 808.001(2) defines “company” as a for-profit entity.]</w:t>
      </w:r>
    </w:p>
    <w:p w14:paraId="32518F96" w14:textId="3566F6EE" w:rsidR="007B2461" w:rsidRPr="005D27A1" w:rsidRDefault="007B2461" w:rsidP="007B2461">
      <w:pPr>
        <w:ind w:left="1440" w:hanging="705"/>
        <w:jc w:val="both"/>
        <w:rPr>
          <w:rFonts w:ascii="Arial" w:hAnsi="Arial" w:cs="Arial"/>
          <w:spacing w:val="-3"/>
          <w:sz w:val="20"/>
        </w:rPr>
      </w:pP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w:t>
        </w:r>
        <w:r>
          <w:rPr>
            <w:rStyle w:val="Hyperlink"/>
            <w:rFonts w:ascii="Arial" w:hAnsi="Arial" w:cs="Arial"/>
            <w:b/>
            <w:bCs/>
            <w:i/>
            <w:iCs/>
            <w:sz w:val="20"/>
            <w:highlight w:val="yellow"/>
          </w:rPr>
          <w:lastRenderedPageBreak/>
          <w:t>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[Option: (Include if this Agreement may be translated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67FB8D49" w:rsidR="0098441D" w:rsidRDefault="0098441D" w:rsidP="008A78C4">
      <w:pPr>
        <w:ind w:left="1440" w:hanging="720"/>
        <w:jc w:val="both"/>
        <w:rPr>
          <w:rFonts w:ascii="Arial" w:hAnsi="Arial" w:cs="Arial"/>
          <w:sz w:val="20"/>
        </w:rPr>
      </w:pPr>
      <w:r>
        <w:rPr>
          <w:rFonts w:ascii="Arial" w:eastAsia="Arial Unicode MS" w:hAnsi="Arial" w:cs="Arial"/>
          <w:sz w:val="20"/>
        </w:rPr>
        <w:t>12.45</w:t>
      </w:r>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is defined by the GDPR, when responding to an inquiry from a data subject, as that term is defined by the GDPR.  Such information shall be provided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86829CC" w14:textId="0F184FC1" w:rsidR="006508B6" w:rsidRDefault="006508B6" w:rsidP="008A78C4">
      <w:pPr>
        <w:ind w:left="1440" w:hanging="720"/>
        <w:jc w:val="both"/>
        <w:rPr>
          <w:rFonts w:ascii="Arial" w:eastAsia="Arial Unicode MS" w:hAnsi="Arial" w:cs="Arial"/>
          <w:sz w:val="20"/>
        </w:rPr>
      </w:pPr>
    </w:p>
    <w:p w14:paraId="4FE363D6" w14:textId="1379F5F6" w:rsidR="008A38D7" w:rsidRPr="003D066A" w:rsidRDefault="008A38D7" w:rsidP="008A38D7">
      <w:pPr>
        <w:ind w:left="1440" w:hanging="720"/>
        <w:jc w:val="both"/>
        <w:rPr>
          <w:rFonts w:ascii="Arial" w:hAnsi="Arial" w:cs="Arial"/>
          <w:sz w:val="20"/>
        </w:rPr>
      </w:pPr>
      <w:r w:rsidRPr="005515C4">
        <w:rPr>
          <w:rFonts w:ascii="Arial" w:hAnsi="Arial" w:cs="Arial"/>
          <w:b/>
          <w:bCs/>
          <w:sz w:val="20"/>
          <w:highlight w:val="cyan"/>
        </w:rPr>
        <w:t>[</w:t>
      </w:r>
      <w:r w:rsidRPr="005515C4">
        <w:rPr>
          <w:rFonts w:ascii="Arial" w:hAnsi="Arial" w:cs="Arial"/>
          <w:b/>
          <w:bCs/>
          <w:sz w:val="20"/>
          <w:highlight w:val="cyan"/>
          <w:u w:val="single"/>
        </w:rPr>
        <w:t>Option</w:t>
      </w:r>
      <w:r w:rsidRPr="005515C4">
        <w:rPr>
          <w:rFonts w:ascii="Arial" w:hAnsi="Arial" w:cs="Arial"/>
          <w:b/>
          <w:bCs/>
          <w:sz w:val="20"/>
          <w:highlight w:val="cyan"/>
        </w:rPr>
        <w:t xml:space="preserve">: Include in contracts under which the Contractor (including its subcontractors, officers, or employees) has access to a state computer system or database.  For more information, see the Texas Department of Information Resources’ website on this requirement: </w:t>
      </w:r>
      <w:hyperlink r:id="rId117" w:history="1">
        <w:r w:rsidR="00001A73" w:rsidRPr="00440616">
          <w:rPr>
            <w:rStyle w:val="Hyperlink"/>
            <w:rFonts w:ascii="Arial" w:hAnsi="Arial" w:cs="Arial"/>
            <w:b/>
            <w:bCs/>
            <w:sz w:val="20"/>
            <w:highlight w:val="cyan"/>
          </w:rPr>
          <w:t>https://dir.texas.gov/View-About-DIR/Information-Security/Pages/Content.aspx?id=154]</w:t>
        </w:r>
      </w:hyperlink>
      <w:r w:rsidR="00001A73" w:rsidRPr="00BF2781">
        <w:rPr>
          <w:rFonts w:ascii="Arial" w:hAnsi="Arial" w:cs="Arial"/>
          <w:sz w:val="20"/>
        </w:rPr>
        <w:t>12.46</w:t>
      </w:r>
      <w:r w:rsidR="00001A73" w:rsidRPr="00BF2781">
        <w:rPr>
          <w:rFonts w:ascii="Arial" w:hAnsi="Arial" w:cs="Arial"/>
          <w:sz w:val="20"/>
        </w:rPr>
        <w:tab/>
      </w:r>
      <w:r w:rsidR="00001A73" w:rsidRPr="00BF2781">
        <w:rPr>
          <w:rFonts w:ascii="Arial" w:hAnsi="Arial" w:cs="Arial"/>
          <w:b/>
          <w:sz w:val="20"/>
        </w:rPr>
        <w:t>Cybersecurity Training Program.</w:t>
      </w:r>
      <w:r w:rsidR="00001A73" w:rsidRPr="00001A73">
        <w:rPr>
          <w:rFonts w:ascii="Arial" w:hAnsi="Arial" w:cs="Arial"/>
          <w:bCs/>
          <w:sz w:val="20"/>
        </w:rPr>
        <w:t xml:space="preserve"> If Contractor and/or its subcontractors, officers, or employees will have an account on a state computer system (for example, an account to an application, database, or network), then pursuant to </w:t>
      </w:r>
      <w:hyperlink r:id="rId118" w:anchor="2054.5192" w:history="1">
        <w:r w:rsidR="00001A73" w:rsidRPr="00020EAC">
          <w:rPr>
            <w:rStyle w:val="Hyperlink"/>
            <w:rFonts w:ascii="Arial" w:hAnsi="Arial" w:cs="Arial"/>
            <w:bCs/>
            <w:sz w:val="20"/>
          </w:rPr>
          <w:t xml:space="preserve">Section 2054.5192, </w:t>
        </w:r>
        <w:r w:rsidR="00001A73" w:rsidRPr="00020EAC">
          <w:rPr>
            <w:rStyle w:val="Hyperlink"/>
            <w:rFonts w:ascii="Arial" w:hAnsi="Arial" w:cs="Arial"/>
            <w:bCs/>
            <w:i/>
            <w:iCs/>
            <w:sz w:val="20"/>
          </w:rPr>
          <w:t>Texas Government Code</w:t>
        </w:r>
      </w:hyperlink>
      <w:r w:rsidR="00001A73" w:rsidRPr="00001A73">
        <w:rPr>
          <w:rFonts w:ascii="Arial" w:hAnsi="Arial" w:cs="Arial"/>
          <w:bCs/>
          <w:sz w:val="20"/>
        </w:rPr>
        <w:t xml:space="preserve">, Contractor and its subcontractors, officers, and employees must complete a cybersecurity training program certified under </w:t>
      </w:r>
      <w:hyperlink r:id="rId119" w:anchor="2054.519" w:history="1">
        <w:r w:rsidR="00001A73" w:rsidRPr="00020EAC">
          <w:rPr>
            <w:rStyle w:val="Hyperlink"/>
            <w:rFonts w:ascii="Arial" w:hAnsi="Arial" w:cs="Arial"/>
            <w:bCs/>
            <w:sz w:val="20"/>
          </w:rPr>
          <w:t xml:space="preserve">Section 2054.519, </w:t>
        </w:r>
        <w:r w:rsidR="00001A73" w:rsidRPr="00020EAC">
          <w:rPr>
            <w:rStyle w:val="Hyperlink"/>
            <w:rFonts w:ascii="Arial" w:hAnsi="Arial" w:cs="Arial"/>
            <w:bCs/>
            <w:i/>
            <w:iCs/>
            <w:sz w:val="20"/>
          </w:rPr>
          <w:t>Texas Government Code</w:t>
        </w:r>
      </w:hyperlink>
      <w:r w:rsidR="00001A73" w:rsidRPr="00001A73">
        <w:rPr>
          <w:rFonts w:ascii="Arial" w:hAnsi="Arial" w:cs="Arial"/>
          <w:bCs/>
          <w:sz w:val="20"/>
        </w:rPr>
        <w:t xml:space="preserve"> and selected by the University. The cybersecurity training program must be completed by Contractor and its </w:t>
      </w:r>
      <w:r w:rsidR="00001A73" w:rsidRPr="00001A73">
        <w:rPr>
          <w:rFonts w:ascii="Arial" w:hAnsi="Arial" w:cs="Arial"/>
          <w:bCs/>
          <w:sz w:val="20"/>
        </w:rPr>
        <w:lastRenderedPageBreak/>
        <w:t>subcontractors, officers, and employees during the term and any renewal period of this Agreement. Contractor shall verify completion of the program to the University.</w:t>
      </w:r>
      <w:r w:rsidRPr="005515C4">
        <w:rPr>
          <w:rFonts w:ascii="Arial" w:hAnsi="Arial" w:cs="Arial"/>
          <w:b/>
          <w:sz w:val="20"/>
          <w:highlight w:val="cyan"/>
        </w:rPr>
        <w:t>]</w:t>
      </w:r>
    </w:p>
    <w:p w14:paraId="32B84E05" w14:textId="776A9BAE" w:rsidR="006508B6" w:rsidRPr="003D066A" w:rsidRDefault="006508B6" w:rsidP="008A38D7">
      <w:pPr>
        <w:ind w:left="1440" w:hanging="720"/>
        <w:jc w:val="both"/>
        <w:rPr>
          <w:rFonts w:ascii="Arial" w:eastAsia="Arial Unicode MS" w:hAnsi="Arial" w:cs="Arial"/>
          <w:sz w:val="20"/>
        </w:rPr>
      </w:pPr>
      <w:r w:rsidRPr="003D066A">
        <w:rPr>
          <w:rFonts w:ascii="Arial" w:hAnsi="Arial" w:cs="Arial"/>
          <w:sz w:val="20"/>
        </w:rPr>
        <w:t xml:space="preserve">  </w:t>
      </w:r>
    </w:p>
    <w:p w14:paraId="5CDAD3E6" w14:textId="70BD0477" w:rsidR="003D066A" w:rsidRPr="00BF2781" w:rsidRDefault="003D066A" w:rsidP="00BF2781">
      <w:pPr>
        <w:ind w:left="1440" w:hanging="720"/>
        <w:jc w:val="both"/>
        <w:rPr>
          <w:rFonts w:ascii="Arial" w:hAnsi="Arial" w:cs="Arial"/>
          <w:sz w:val="20"/>
        </w:rPr>
      </w:pPr>
      <w:r w:rsidRPr="00BF2781">
        <w:rPr>
          <w:rFonts w:ascii="Arial" w:hAnsi="Arial" w:cs="Arial"/>
          <w:b/>
          <w:sz w:val="20"/>
          <w:highlight w:val="cyan"/>
        </w:rPr>
        <w:t>[</w:t>
      </w:r>
      <w:r w:rsidRPr="00BF2781">
        <w:rPr>
          <w:rFonts w:ascii="Arial" w:hAnsi="Arial" w:cs="Arial"/>
          <w:b/>
          <w:sz w:val="20"/>
          <w:highlight w:val="cyan"/>
          <w:u w:val="single"/>
        </w:rPr>
        <w:t>Option</w:t>
      </w:r>
      <w:r w:rsidRPr="00BF2781">
        <w:rPr>
          <w:rFonts w:ascii="Arial" w:hAnsi="Arial" w:cs="Arial"/>
          <w:b/>
          <w:sz w:val="20"/>
          <w:highlight w:val="cyan"/>
        </w:rPr>
        <w:t xml:space="preserve">: Include the following if this Agreement is with a non-governmental body (see </w:t>
      </w:r>
      <w:hyperlink r:id="rId120" w:anchor="552.003" w:history="1">
        <w:r w:rsidRPr="00174453">
          <w:rPr>
            <w:rStyle w:val="Hyperlink"/>
            <w:rFonts w:ascii="Arial" w:hAnsi="Arial" w:cs="Arial"/>
            <w:b/>
            <w:sz w:val="20"/>
            <w:highlight w:val="cyan"/>
          </w:rPr>
          <w:t xml:space="preserve">Section 552.003(1), </w:t>
        </w:r>
        <w:r w:rsidRPr="00174453">
          <w:rPr>
            <w:rStyle w:val="Hyperlink"/>
            <w:rFonts w:ascii="Arial" w:hAnsi="Arial" w:cs="Arial"/>
            <w:b/>
            <w:i/>
            <w:iCs/>
            <w:sz w:val="20"/>
            <w:highlight w:val="cyan"/>
          </w:rPr>
          <w:t>Texas Government Code</w:t>
        </w:r>
      </w:hyperlink>
      <w:r w:rsidRPr="00BF2781">
        <w:rPr>
          <w:rFonts w:ascii="Arial" w:hAnsi="Arial" w:cs="Arial"/>
          <w:b/>
          <w:sz w:val="20"/>
          <w:highlight w:val="cyan"/>
        </w:rPr>
        <w:t>) and either (1) has a stated expenditure of at least $1 million in public funds for the purchase of goods or services by your institution or (2) will result in the expenditure of at least $1 million in public funds for the purchase of goods or services by your institution during a fiscal year of your institution:]</w:t>
      </w:r>
      <w:r w:rsidRPr="00BF2781">
        <w:rPr>
          <w:rFonts w:ascii="Arial" w:hAnsi="Arial" w:cs="Arial"/>
          <w:bCs/>
          <w:sz w:val="20"/>
        </w:rPr>
        <w:t>12.47</w:t>
      </w:r>
      <w:r w:rsidRPr="00BF2781">
        <w:rPr>
          <w:rFonts w:ascii="Arial" w:hAnsi="Arial" w:cs="Arial"/>
          <w:bCs/>
          <w:sz w:val="20"/>
        </w:rPr>
        <w:tab/>
      </w:r>
      <w:r w:rsidRPr="00BF2781">
        <w:rPr>
          <w:rFonts w:ascii="Arial" w:hAnsi="Arial" w:cs="Arial"/>
          <w:b/>
          <w:bCs/>
          <w:sz w:val="20"/>
        </w:rPr>
        <w:t>Texas Public Information Act - Subchapter J Requirements</w:t>
      </w:r>
      <w:r>
        <w:rPr>
          <w:rFonts w:ascii="Arial" w:hAnsi="Arial" w:cs="Arial"/>
          <w:b/>
          <w:bCs/>
          <w:sz w:val="20"/>
        </w:rPr>
        <w:t xml:space="preserve">.  </w:t>
      </w:r>
      <w:r w:rsidRPr="00BF2781">
        <w:rPr>
          <w:rFonts w:ascii="Arial" w:hAnsi="Arial" w:cs="Arial"/>
          <w:sz w:val="20"/>
        </w:rPr>
        <w:t xml:space="preserve">Pursuant to </w:t>
      </w:r>
      <w:hyperlink r:id="rId121" w:anchor="552.372" w:history="1">
        <w:r w:rsidRPr="007E7183">
          <w:rPr>
            <w:rStyle w:val="Hyperlink"/>
            <w:rFonts w:ascii="Arial" w:hAnsi="Arial" w:cs="Arial"/>
            <w:sz w:val="20"/>
          </w:rPr>
          <w:t xml:space="preserve">Section 552.372 of the </w:t>
        </w:r>
        <w:r w:rsidRPr="007E7183">
          <w:rPr>
            <w:rStyle w:val="Hyperlink"/>
            <w:rFonts w:ascii="Arial" w:hAnsi="Arial" w:cs="Arial"/>
            <w:i/>
            <w:iCs/>
            <w:sz w:val="20"/>
          </w:rPr>
          <w:t>Texas Government Code</w:t>
        </w:r>
      </w:hyperlink>
      <w:r w:rsidRPr="00BF2781">
        <w:rPr>
          <w:rFonts w:ascii="Arial" w:hAnsi="Arial" w:cs="Arial"/>
          <w:sz w:val="20"/>
        </w:rPr>
        <w:t xml:space="preserve">, Contractor must: </w:t>
      </w:r>
    </w:p>
    <w:p w14:paraId="51FFFC4A" w14:textId="77777777" w:rsidR="003D066A" w:rsidRPr="00BF2781" w:rsidRDefault="003D066A" w:rsidP="003D066A">
      <w:pPr>
        <w:jc w:val="both"/>
        <w:rPr>
          <w:rFonts w:ascii="Arial" w:hAnsi="Arial" w:cs="Arial"/>
          <w:sz w:val="20"/>
        </w:rPr>
      </w:pPr>
    </w:p>
    <w:p w14:paraId="647E85A3" w14:textId="4608982E" w:rsidR="003D066A" w:rsidRPr="00BF2781" w:rsidRDefault="003D066A" w:rsidP="00BF2781">
      <w:pPr>
        <w:ind w:left="2160" w:hanging="720"/>
        <w:jc w:val="both"/>
        <w:rPr>
          <w:rFonts w:ascii="Arial" w:hAnsi="Arial" w:cs="Arial"/>
          <w:sz w:val="20"/>
        </w:rPr>
      </w:pPr>
      <w:r w:rsidRPr="00BF2781">
        <w:rPr>
          <w:rFonts w:ascii="Arial" w:hAnsi="Arial" w:cs="Arial"/>
          <w:sz w:val="20"/>
        </w:rPr>
        <w:t xml:space="preserve">(1)  </w:t>
      </w:r>
      <w:r w:rsidRPr="00BF2781">
        <w:rPr>
          <w:rFonts w:ascii="Arial" w:hAnsi="Arial" w:cs="Arial"/>
          <w:sz w:val="20"/>
        </w:rPr>
        <w:tab/>
        <w:t xml:space="preserve">preserve all contracting information (ref. </w:t>
      </w:r>
      <w:hyperlink r:id="rId122" w:anchor="552.003" w:history="1">
        <w:r w:rsidRPr="00174453">
          <w:rPr>
            <w:rStyle w:val="Hyperlink"/>
            <w:rFonts w:ascii="Arial" w:hAnsi="Arial" w:cs="Arial"/>
            <w:sz w:val="20"/>
          </w:rPr>
          <w:t xml:space="preserve">Section 552.003(7), </w:t>
        </w:r>
        <w:r w:rsidRPr="00174453">
          <w:rPr>
            <w:rStyle w:val="Hyperlink"/>
            <w:rFonts w:ascii="Arial" w:hAnsi="Arial" w:cs="Arial"/>
            <w:i/>
            <w:iCs/>
            <w:sz w:val="20"/>
          </w:rPr>
          <w:t>Texas Government Code</w:t>
        </w:r>
      </w:hyperlink>
      <w:r w:rsidRPr="00BF2781">
        <w:rPr>
          <w:rFonts w:ascii="Arial" w:hAnsi="Arial" w:cs="Arial"/>
          <w:sz w:val="20"/>
        </w:rPr>
        <w:t>) related to this Agreement as provided by the records retention requirements applicable to University for the duration of this Agreement;</w:t>
      </w:r>
    </w:p>
    <w:p w14:paraId="64D9A77D" w14:textId="77777777" w:rsidR="003D066A" w:rsidRPr="00BF2781" w:rsidRDefault="003D066A" w:rsidP="00BF2781">
      <w:pPr>
        <w:ind w:left="2160" w:hanging="720"/>
        <w:jc w:val="both"/>
        <w:rPr>
          <w:rFonts w:ascii="Arial" w:hAnsi="Arial" w:cs="Arial"/>
          <w:sz w:val="20"/>
        </w:rPr>
      </w:pPr>
    </w:p>
    <w:p w14:paraId="0CFB481F" w14:textId="77777777" w:rsidR="003D066A" w:rsidRPr="00BF2781" w:rsidRDefault="003D066A" w:rsidP="00BF2781">
      <w:pPr>
        <w:ind w:left="2160" w:hanging="720"/>
        <w:jc w:val="both"/>
        <w:rPr>
          <w:rFonts w:ascii="Arial" w:hAnsi="Arial" w:cs="Arial"/>
          <w:sz w:val="20"/>
        </w:rPr>
      </w:pPr>
      <w:r w:rsidRPr="00BF2781">
        <w:rPr>
          <w:rFonts w:ascii="Arial" w:hAnsi="Arial" w:cs="Arial"/>
          <w:sz w:val="20"/>
        </w:rPr>
        <w:t xml:space="preserve">(2)  </w:t>
      </w:r>
      <w:r w:rsidRPr="00BF2781">
        <w:rPr>
          <w:rFonts w:ascii="Arial" w:hAnsi="Arial" w:cs="Arial"/>
          <w:sz w:val="20"/>
        </w:rPr>
        <w:tab/>
        <w:t xml:space="preserve">promptly provide to the University any contracting information related to this Agreement that is in the custody or possession of Contractor on request of the University; and </w:t>
      </w:r>
    </w:p>
    <w:p w14:paraId="1F0A7B58" w14:textId="77777777" w:rsidR="003D066A" w:rsidRPr="00BF2781" w:rsidRDefault="003D066A" w:rsidP="00BF2781">
      <w:pPr>
        <w:ind w:left="2160" w:hanging="720"/>
        <w:jc w:val="both"/>
        <w:rPr>
          <w:rFonts w:ascii="Arial" w:hAnsi="Arial" w:cs="Arial"/>
          <w:sz w:val="20"/>
        </w:rPr>
      </w:pPr>
    </w:p>
    <w:p w14:paraId="702AADA4" w14:textId="77777777" w:rsidR="003D066A" w:rsidRPr="00BF2781" w:rsidRDefault="003D066A" w:rsidP="00BF2781">
      <w:pPr>
        <w:ind w:left="2160" w:hanging="720"/>
        <w:jc w:val="both"/>
        <w:rPr>
          <w:rFonts w:ascii="Arial" w:hAnsi="Arial" w:cs="Arial"/>
          <w:sz w:val="20"/>
        </w:rPr>
      </w:pPr>
      <w:r w:rsidRPr="00BF2781">
        <w:rPr>
          <w:rFonts w:ascii="Arial" w:hAnsi="Arial" w:cs="Arial"/>
          <w:sz w:val="20"/>
        </w:rPr>
        <w:t xml:space="preserve">(3)  </w:t>
      </w:r>
      <w:r w:rsidRPr="00BF2781">
        <w:rPr>
          <w:rFonts w:ascii="Arial" w:hAnsi="Arial" w:cs="Arial"/>
          <w:sz w:val="20"/>
        </w:rPr>
        <w:tab/>
        <w:t xml:space="preserve">on completion of this Agreement, either: </w:t>
      </w:r>
    </w:p>
    <w:p w14:paraId="30546224" w14:textId="77777777" w:rsidR="003D066A" w:rsidRPr="00BF2781" w:rsidRDefault="003D066A" w:rsidP="003D066A">
      <w:pPr>
        <w:jc w:val="both"/>
        <w:rPr>
          <w:rFonts w:ascii="Arial" w:hAnsi="Arial" w:cs="Arial"/>
          <w:sz w:val="20"/>
        </w:rPr>
      </w:pPr>
    </w:p>
    <w:p w14:paraId="3045D8C5" w14:textId="77777777" w:rsidR="003D066A" w:rsidRPr="00BF2781" w:rsidRDefault="003D066A" w:rsidP="00BF2781">
      <w:pPr>
        <w:ind w:left="2880" w:hanging="720"/>
        <w:jc w:val="both"/>
        <w:rPr>
          <w:rFonts w:ascii="Arial" w:hAnsi="Arial" w:cs="Arial"/>
          <w:sz w:val="20"/>
        </w:rPr>
      </w:pPr>
      <w:r w:rsidRPr="00BF2781">
        <w:rPr>
          <w:rFonts w:ascii="Arial" w:hAnsi="Arial" w:cs="Arial"/>
          <w:sz w:val="20"/>
        </w:rPr>
        <w:t xml:space="preserve">(A)  </w:t>
      </w:r>
      <w:r w:rsidRPr="00BF2781">
        <w:rPr>
          <w:rFonts w:ascii="Arial" w:hAnsi="Arial" w:cs="Arial"/>
          <w:sz w:val="20"/>
        </w:rPr>
        <w:tab/>
        <w:t>provide at no cost to the University all contracting information related to this Agreement that is in the custody or possession of Contractor, or</w:t>
      </w:r>
    </w:p>
    <w:p w14:paraId="0299C14E" w14:textId="77777777" w:rsidR="003D066A" w:rsidRPr="00BF2781" w:rsidRDefault="003D066A" w:rsidP="00BF2781">
      <w:pPr>
        <w:ind w:left="2880" w:hanging="720"/>
        <w:jc w:val="both"/>
        <w:rPr>
          <w:rFonts w:ascii="Arial" w:hAnsi="Arial" w:cs="Arial"/>
          <w:sz w:val="20"/>
        </w:rPr>
      </w:pPr>
    </w:p>
    <w:p w14:paraId="5F99889A" w14:textId="77777777" w:rsidR="003D066A" w:rsidRPr="00BF2781" w:rsidRDefault="003D066A" w:rsidP="00BF2781">
      <w:pPr>
        <w:ind w:left="2880" w:hanging="720"/>
        <w:jc w:val="both"/>
        <w:rPr>
          <w:rFonts w:ascii="Arial" w:hAnsi="Arial" w:cs="Arial"/>
          <w:sz w:val="20"/>
        </w:rPr>
      </w:pPr>
      <w:r w:rsidRPr="00BF2781">
        <w:rPr>
          <w:rFonts w:ascii="Arial" w:hAnsi="Arial" w:cs="Arial"/>
          <w:sz w:val="20"/>
        </w:rPr>
        <w:t xml:space="preserve">(B)  </w:t>
      </w:r>
      <w:r w:rsidRPr="00BF2781">
        <w:rPr>
          <w:rFonts w:ascii="Arial" w:hAnsi="Arial" w:cs="Arial"/>
          <w:sz w:val="20"/>
        </w:rPr>
        <w:tab/>
        <w:t>preserve the contracting information related to this Agreement as provided by the records retention requirements applicable to the University.</w:t>
      </w:r>
    </w:p>
    <w:p w14:paraId="201A6FCA" w14:textId="77777777" w:rsidR="003D066A" w:rsidRPr="00BF2781" w:rsidRDefault="003D066A" w:rsidP="003D066A">
      <w:pPr>
        <w:ind w:left="1440" w:hanging="720"/>
        <w:jc w:val="both"/>
        <w:rPr>
          <w:rFonts w:ascii="Arial" w:hAnsi="Arial" w:cs="Arial"/>
          <w:sz w:val="20"/>
        </w:rPr>
      </w:pPr>
    </w:p>
    <w:p w14:paraId="313F5BD2" w14:textId="1B7C5139" w:rsidR="003D066A" w:rsidRPr="00BF2781" w:rsidRDefault="003D066A" w:rsidP="00BF2781">
      <w:pPr>
        <w:ind w:left="1440"/>
        <w:jc w:val="both"/>
        <w:rPr>
          <w:rFonts w:ascii="Arial" w:hAnsi="Arial" w:cs="Arial"/>
          <w:sz w:val="20"/>
        </w:rPr>
      </w:pPr>
      <w:r w:rsidRPr="00BF2781">
        <w:rPr>
          <w:rFonts w:ascii="Arial" w:hAnsi="Arial" w:cs="Arial"/>
          <w:b/>
          <w:sz w:val="20"/>
          <w:highlight w:val="yellow"/>
        </w:rPr>
        <w:t>[NOTE: Do not include the following sentence if (a) the Agreement is related to the purchase or underwriting of a public security, (b) the Agreement is or may be used as collateral on a loan, or (c) the Agreement's proceeds are used to pay debt service of a public security or loan.]</w:t>
      </w:r>
      <w:r w:rsidRPr="00BF2781">
        <w:rPr>
          <w:rFonts w:ascii="Arial" w:hAnsi="Arial" w:cs="Arial"/>
          <w:sz w:val="20"/>
        </w:rPr>
        <w:t xml:space="preserve"> The requirements of </w:t>
      </w:r>
      <w:hyperlink r:id="rId123" w:anchor="J" w:history="1">
        <w:r w:rsidRPr="00174453">
          <w:rPr>
            <w:rStyle w:val="Hyperlink"/>
            <w:rFonts w:ascii="Arial" w:hAnsi="Arial" w:cs="Arial"/>
            <w:sz w:val="20"/>
          </w:rPr>
          <w:t xml:space="preserve">Subchapter J, Chapter 552, </w:t>
        </w:r>
        <w:r w:rsidRPr="00174453">
          <w:rPr>
            <w:rStyle w:val="Hyperlink"/>
            <w:rFonts w:ascii="Arial" w:hAnsi="Arial" w:cs="Arial"/>
            <w:i/>
            <w:iCs/>
            <w:sz w:val="20"/>
          </w:rPr>
          <w:t>Government Code</w:t>
        </w:r>
      </w:hyperlink>
      <w:r w:rsidRPr="00BF2781">
        <w:rPr>
          <w:rFonts w:ascii="Arial" w:hAnsi="Arial" w:cs="Arial"/>
          <w:sz w:val="20"/>
        </w:rPr>
        <w:t xml:space="preserve"> (“Subchapter J”) may apply to this Agreement and Contractor agrees that the Agreement can be terminated if Contractor knowingly or intentionally fails to comply with a requirement of Subchapter J.</w:t>
      </w:r>
    </w:p>
    <w:p w14:paraId="66B24D0C" w14:textId="77777777" w:rsidR="003D066A" w:rsidRPr="00BF2781" w:rsidRDefault="003D066A" w:rsidP="00BF2781">
      <w:pPr>
        <w:ind w:left="1440"/>
        <w:jc w:val="both"/>
        <w:rPr>
          <w:rFonts w:ascii="Arial" w:hAnsi="Arial" w:cs="Arial"/>
          <w:sz w:val="20"/>
        </w:rPr>
      </w:pPr>
    </w:p>
    <w:p w14:paraId="6142A351" w14:textId="0E701D36" w:rsidR="003D066A" w:rsidRPr="00BF2781" w:rsidRDefault="003D066A" w:rsidP="00BF2781">
      <w:pPr>
        <w:ind w:left="1440"/>
        <w:jc w:val="both"/>
        <w:rPr>
          <w:rFonts w:ascii="Arial" w:hAnsi="Arial" w:cs="Arial"/>
          <w:sz w:val="20"/>
        </w:rPr>
      </w:pPr>
      <w:r w:rsidRPr="00BF2781">
        <w:rPr>
          <w:rFonts w:ascii="Arial" w:hAnsi="Arial" w:cs="Arial"/>
          <w:sz w:val="20"/>
        </w:rPr>
        <w:t xml:space="preserve">University may not accept a bid for a contract described by </w:t>
      </w:r>
      <w:hyperlink r:id="rId124" w:anchor="552.371" w:history="1">
        <w:r w:rsidRPr="00174453">
          <w:rPr>
            <w:rStyle w:val="Hyperlink"/>
            <w:rFonts w:ascii="Arial" w:hAnsi="Arial" w:cs="Arial"/>
            <w:sz w:val="20"/>
          </w:rPr>
          <w:t xml:space="preserve">Section 552.371, </w:t>
        </w:r>
        <w:r w:rsidRPr="00174453">
          <w:rPr>
            <w:rStyle w:val="Hyperlink"/>
            <w:rFonts w:ascii="Arial" w:hAnsi="Arial" w:cs="Arial"/>
            <w:i/>
            <w:iCs/>
            <w:sz w:val="20"/>
          </w:rPr>
          <w:t>Texas Government Code</w:t>
        </w:r>
      </w:hyperlink>
      <w:r w:rsidRPr="00BF2781">
        <w:rPr>
          <w:rFonts w:ascii="Arial" w:hAnsi="Arial" w:cs="Arial"/>
          <w:sz w:val="20"/>
        </w:rPr>
        <w:t xml:space="preserve"> or award the contract to an entity that the University has determined has knowingly or intentionally failed to comply with Subchapter J in a previous bid or contract described by Section 552.371 unless the University determines and documents that the entity has taken adequate steps to ensure future compliance with the requirements of Subchapter J.</w:t>
      </w:r>
    </w:p>
    <w:p w14:paraId="54805216" w14:textId="77777777" w:rsidR="003D066A" w:rsidRPr="00BF2781" w:rsidRDefault="003D066A" w:rsidP="00BF2781">
      <w:pPr>
        <w:ind w:left="1440"/>
        <w:jc w:val="both"/>
        <w:rPr>
          <w:rFonts w:ascii="Arial" w:hAnsi="Arial" w:cs="Arial"/>
          <w:sz w:val="20"/>
        </w:rPr>
      </w:pPr>
    </w:p>
    <w:p w14:paraId="02091823" w14:textId="34F296C2" w:rsidR="002547ED" w:rsidRPr="00B27F4E" w:rsidRDefault="003D066A" w:rsidP="00B27F4E">
      <w:pPr>
        <w:ind w:left="1440"/>
        <w:jc w:val="both"/>
        <w:rPr>
          <w:rFonts w:ascii="Arial" w:hAnsi="Arial" w:cs="Arial"/>
          <w:sz w:val="20"/>
        </w:rPr>
      </w:pPr>
      <w:r w:rsidRPr="00BF2781">
        <w:rPr>
          <w:rFonts w:ascii="Arial" w:hAnsi="Arial" w:cs="Arial"/>
          <w:sz w:val="20"/>
        </w:rPr>
        <w:t xml:space="preserve">If Contractor fails to comply with the requirements of Subchapter J applicable to Contractor, then University shall provide written notice to Contractor stating the requirement(s) of Subchapter J that Contractor has violated.  </w:t>
      </w:r>
      <w:r w:rsidRPr="00BF2781">
        <w:rPr>
          <w:rFonts w:ascii="Arial" w:hAnsi="Arial" w:cs="Arial"/>
          <w:b/>
          <w:sz w:val="20"/>
          <w:highlight w:val="yellow"/>
        </w:rPr>
        <w:t>[NOTE: Do not include the remainder of this paragraph if (a) the Agreement is related to the purchase or underwriting of a public security, (b) the Agreement is or may be used as collateral on a loan, or (c) the Agreement's proceeds are used to pay debt service of a public security or loan.]</w:t>
      </w:r>
      <w:r w:rsidRPr="00BF2781">
        <w:rPr>
          <w:rFonts w:ascii="Arial" w:hAnsi="Arial" w:cs="Arial"/>
          <w:sz w:val="20"/>
        </w:rPr>
        <w:t xml:space="preserve">  Such notice will also advise Contractor that University may terminate this Agreement without further obligation to Contractor if (a) Contractor does not cure the violation on or before the 10th business day after the date the University provides the notice, (b) the University determines that Contractor has intentionally or knowingly failed to comply with a requirement of that Subchapter J, and (c)  the University determines that Contractor has not taken adequate steps to ensure future compliance with the requirements of Subchapter J.  For purposes of the above, Contractor has taken adequate steps to ensure future </w:t>
      </w:r>
      <w:r w:rsidRPr="00BF2781">
        <w:rPr>
          <w:rFonts w:ascii="Arial" w:hAnsi="Arial" w:cs="Arial"/>
          <w:sz w:val="20"/>
        </w:rPr>
        <w:lastRenderedPageBreak/>
        <w:t>compliance with Subchapter J if: (1) Contractor produces contracting information requested by the University that is in the custody or possession of Contractor not later than the 10th business day after the date the University makes the request and (2) Contractor establishes a records management program to enable Contractor to comply with Subchapter J.</w:t>
      </w:r>
      <w:r w:rsidRPr="00BF2781">
        <w:rPr>
          <w:rFonts w:ascii="Arial" w:hAnsi="Arial" w:cs="Arial"/>
          <w:b/>
          <w:bCs/>
          <w:sz w:val="20"/>
          <w:highlight w:val="cyan"/>
        </w:rPr>
        <w:t>]</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4E2F00C9" w14:textId="77777777" w:rsidR="00B27F4E" w:rsidRPr="007A54A3" w:rsidRDefault="00B27F4E" w:rsidP="00B27F4E">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14:paraId="7C3DFB7A" w14:textId="77777777" w:rsidR="00B27F4E" w:rsidRPr="00AE1A10" w:rsidRDefault="00B27F4E" w:rsidP="00B27F4E">
      <w:pPr>
        <w:keepNext/>
        <w:keepLines/>
        <w:tabs>
          <w:tab w:val="left" w:pos="-720"/>
        </w:tabs>
        <w:suppressAutoHyphens/>
        <w:jc w:val="both"/>
        <w:rPr>
          <w:rFonts w:ascii="Arial" w:hAnsi="Arial"/>
          <w:spacing w:val="-3"/>
          <w:sz w:val="20"/>
        </w:rPr>
      </w:pPr>
    </w:p>
    <w:p w14:paraId="70E57D11" w14:textId="77777777" w:rsidR="00B27F4E" w:rsidRPr="007A54A3" w:rsidRDefault="00B27F4E" w:rsidP="00B27F4E">
      <w:pPr>
        <w:keepNext/>
        <w:keepLines/>
        <w:tabs>
          <w:tab w:val="left" w:pos="-720"/>
        </w:tabs>
        <w:suppressAutoHyphens/>
        <w:jc w:val="both"/>
        <w:rPr>
          <w:rFonts w:ascii="Arial" w:hAnsi="Arial" w:cs="Arial"/>
          <w:spacing w:val="-3"/>
          <w:sz w:val="20"/>
        </w:rPr>
      </w:pPr>
    </w:p>
    <w:p w14:paraId="2EFBD7DC" w14:textId="77777777" w:rsidR="00B27F4E" w:rsidRPr="007A54A3" w:rsidRDefault="00B27F4E" w:rsidP="00B27F4E">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0E94CEF1" w14:textId="77777777" w:rsidR="00B27F4E" w:rsidRPr="007A54A3" w:rsidRDefault="00B27F4E" w:rsidP="00B27F4E">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p>
    <w:p w14:paraId="7DD3B9FB" w14:textId="77777777" w:rsidR="00B27F4E" w:rsidRPr="007A54A3" w:rsidRDefault="00B27F4E" w:rsidP="00B27F4E">
      <w:pPr>
        <w:keepNext/>
        <w:keepLines/>
        <w:tabs>
          <w:tab w:val="left" w:pos="-720"/>
        </w:tabs>
        <w:suppressAutoHyphens/>
        <w:jc w:val="both"/>
        <w:rPr>
          <w:rFonts w:ascii="Arial" w:hAnsi="Arial" w:cs="Arial"/>
          <w:spacing w:val="-3"/>
          <w:sz w:val="20"/>
        </w:rPr>
      </w:pPr>
    </w:p>
    <w:p w14:paraId="3E92C87F" w14:textId="77777777" w:rsidR="00B27F4E" w:rsidRPr="007A54A3" w:rsidRDefault="00B27F4E" w:rsidP="00B27F4E">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 ___________________________</w:t>
      </w:r>
    </w:p>
    <w:p w14:paraId="202282C9" w14:textId="77777777" w:rsidR="00B27F4E" w:rsidRPr="007A54A3" w:rsidRDefault="00B27F4E" w:rsidP="00B27F4E">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 ________________________</w:t>
      </w:r>
    </w:p>
    <w:p w14:paraId="5691A4F4" w14:textId="670019E8" w:rsidR="00F9759F" w:rsidRPr="007A54A3" w:rsidRDefault="00B27F4E" w:rsidP="00B27F4E">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 __________________________</w:t>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25"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w:t>
      </w:r>
      <w:r w:rsidRPr="007A54A3">
        <w:rPr>
          <w:rFonts w:ascii="Arial" w:eastAsia="Calibri" w:hAnsi="Arial" w:cs="Arial"/>
          <w:spacing w:val="-3"/>
          <w:sz w:val="20"/>
        </w:rPr>
        <w:lastRenderedPageBreak/>
        <w:t xml:space="preserve">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26"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w:t>
      </w:r>
      <w:proofErr w:type="gramStart"/>
      <w:r w:rsidR="00C6381E" w:rsidRPr="007A54A3">
        <w:rPr>
          <w:rFonts w:ascii="Arial" w:hAnsi="Arial" w:cs="Arial"/>
          <w:sz w:val="20"/>
        </w:rPr>
        <w:t>machine readable</w:t>
      </w:r>
      <w:proofErr w:type="gramEnd"/>
      <w:r w:rsidR="00C6381E" w:rsidRPr="007A54A3">
        <w:rPr>
          <w:rFonts w:ascii="Arial" w:hAnsi="Arial" w:cs="Arial"/>
          <w:sz w:val="20"/>
        </w:rPr>
        <w:t xml:space="preserv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 xml:space="preserve">with respect to such FERPA </w:t>
      </w:r>
      <w:r w:rsidRPr="007A54A3">
        <w:rPr>
          <w:rFonts w:ascii="Arial" w:hAnsi="Arial" w:cs="Arial"/>
          <w:sz w:val="20"/>
        </w:rPr>
        <w:lastRenderedPageBreak/>
        <w:t>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27"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redisclosure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so as to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lastRenderedPageBreak/>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xml:space="preserve">[         </w:t>
      </w:r>
      <w:proofErr w:type="gramStart"/>
      <w:r w:rsidRPr="007A54A3">
        <w:rPr>
          <w:rFonts w:ascii="Arial" w:hAnsi="Arial" w:cs="Arial"/>
          <w:b/>
          <w:sz w:val="20"/>
          <w:highlight w:val="cyan"/>
        </w:rPr>
        <w:t xml:space="preserve">  ]</w:t>
      </w:r>
      <w:proofErr w:type="gramEnd"/>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55A0B9D6" w14:textId="77777777" w:rsidR="00B27F4E" w:rsidRPr="007A54A3" w:rsidRDefault="00B27F4E" w:rsidP="00B27F4E">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063ACF" w14:textId="77777777" w:rsidR="00B27F4E" w:rsidRPr="007A54A3" w:rsidRDefault="00B27F4E" w:rsidP="00B27F4E">
      <w:pPr>
        <w:keepNext/>
        <w:keepLines/>
        <w:spacing w:before="100" w:beforeAutospacing="1" w:after="100" w:afterAutospacing="1"/>
        <w:jc w:val="both"/>
        <w:outlineLvl w:val="2"/>
        <w:rPr>
          <w:rFonts w:ascii="Arial" w:hAnsi="Arial" w:cs="Arial"/>
          <w:b/>
          <w:bCs/>
          <w:sz w:val="20"/>
        </w:rPr>
      </w:pPr>
      <w:r>
        <w:rPr>
          <w:rFonts w:ascii="Arial" w:hAnsi="Arial" w:cs="Arial"/>
          <w:b/>
          <w:bCs/>
          <w:sz w:val="20"/>
        </w:rPr>
        <w:t>The University of Texas Health</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highlight w:val="cyan"/>
        </w:rPr>
        <w:t>[Contractor]</w:t>
      </w:r>
    </w:p>
    <w:p w14:paraId="140AD88A" w14:textId="77777777" w:rsidR="00B27F4E" w:rsidRPr="00EE6BEC" w:rsidRDefault="00B27F4E" w:rsidP="00B27F4E">
      <w:pPr>
        <w:keepNext/>
        <w:keepLines/>
        <w:spacing w:before="100" w:beforeAutospacing="1" w:after="100" w:afterAutospacing="1"/>
        <w:jc w:val="both"/>
        <w:rPr>
          <w:rFonts w:ascii="Arial" w:hAnsi="Arial" w:cs="Arial"/>
          <w:b/>
          <w:sz w:val="20"/>
        </w:rPr>
      </w:pPr>
      <w:r>
        <w:rPr>
          <w:rFonts w:ascii="Arial" w:hAnsi="Arial" w:cs="Arial"/>
          <w:b/>
          <w:sz w:val="20"/>
        </w:rPr>
        <w:t>Science Center at Houston</w:t>
      </w:r>
    </w:p>
    <w:p w14:paraId="7F21E897" w14:textId="77777777" w:rsidR="00B27F4E" w:rsidRPr="007A54A3" w:rsidRDefault="00B27F4E" w:rsidP="00B27F4E">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____________________________</w:t>
      </w:r>
      <w:r w:rsidRPr="007A54A3">
        <w:rPr>
          <w:rFonts w:ascii="Arial" w:hAnsi="Arial" w:cs="Arial"/>
          <w:sz w:val="20"/>
        </w:rPr>
        <w:tab/>
      </w:r>
      <w:r w:rsidRPr="007A54A3">
        <w:rPr>
          <w:rFonts w:ascii="Arial" w:hAnsi="Arial" w:cs="Arial"/>
          <w:sz w:val="20"/>
        </w:rPr>
        <w:tab/>
        <w:t>By: ____________________________</w:t>
      </w:r>
    </w:p>
    <w:p w14:paraId="52E4ED7A" w14:textId="77777777" w:rsidR="00B27F4E" w:rsidRPr="007A54A3" w:rsidRDefault="00B27F4E" w:rsidP="00B27F4E">
      <w:pPr>
        <w:keepNext/>
        <w:keepLines/>
        <w:spacing w:before="100" w:beforeAutospacing="1" w:after="100" w:afterAutospacing="1"/>
        <w:jc w:val="both"/>
        <w:rPr>
          <w:rFonts w:ascii="Arial" w:hAnsi="Arial" w:cs="Arial"/>
          <w:sz w:val="20"/>
        </w:rPr>
      </w:pPr>
      <w:r w:rsidRPr="007A54A3">
        <w:rPr>
          <w:rFonts w:ascii="Arial" w:hAnsi="Arial" w:cs="Arial"/>
          <w:sz w:val="20"/>
        </w:rPr>
        <w:t>Name: _________________________</w:t>
      </w:r>
      <w:r w:rsidRPr="007A54A3">
        <w:rPr>
          <w:rFonts w:ascii="Arial" w:hAnsi="Arial" w:cs="Arial"/>
          <w:sz w:val="20"/>
        </w:rPr>
        <w:tab/>
      </w:r>
      <w:r w:rsidRPr="007A54A3">
        <w:rPr>
          <w:rFonts w:ascii="Arial" w:hAnsi="Arial" w:cs="Arial"/>
          <w:sz w:val="20"/>
        </w:rPr>
        <w:tab/>
        <w:t>Name:  _________________________</w:t>
      </w:r>
    </w:p>
    <w:p w14:paraId="33774EA4" w14:textId="77777777" w:rsidR="00B27F4E" w:rsidRPr="007A54A3" w:rsidRDefault="00B27F4E" w:rsidP="00B27F4E">
      <w:pPr>
        <w:keepNext/>
        <w:keepLines/>
        <w:spacing w:before="100" w:beforeAutospacing="1" w:after="100" w:afterAutospacing="1"/>
        <w:rPr>
          <w:rFonts w:ascii="Arial" w:hAnsi="Arial" w:cs="Arial"/>
          <w:sz w:val="20"/>
        </w:rPr>
      </w:pPr>
      <w:r w:rsidRPr="007A54A3">
        <w:rPr>
          <w:rFonts w:ascii="Arial" w:hAnsi="Arial" w:cs="Arial"/>
          <w:sz w:val="20"/>
        </w:rPr>
        <w:t>Title: __________________________</w:t>
      </w:r>
      <w:r w:rsidRPr="007A54A3">
        <w:rPr>
          <w:rFonts w:ascii="Arial" w:hAnsi="Arial" w:cs="Arial"/>
          <w:sz w:val="20"/>
        </w:rPr>
        <w:tab/>
      </w:r>
      <w:r w:rsidRPr="007A54A3">
        <w:rPr>
          <w:rFonts w:ascii="Arial" w:hAnsi="Arial" w:cs="Arial"/>
          <w:sz w:val="20"/>
        </w:rPr>
        <w:tab/>
        <w:t>Title: ___________________________</w:t>
      </w:r>
      <w:r w:rsidRPr="007A54A3">
        <w:rPr>
          <w:rFonts w:ascii="Arial" w:hAnsi="Arial" w:cs="Arial"/>
          <w:sz w:val="20"/>
        </w:rPr>
        <w:br/>
      </w:r>
    </w:p>
    <w:p w14:paraId="0310C3F2" w14:textId="77777777" w:rsidR="00B27F4E" w:rsidRPr="001D58F3" w:rsidRDefault="00B27F4E" w:rsidP="00B27F4E">
      <w:pPr>
        <w:keepNext/>
        <w:keepLines/>
        <w:jc w:val="both"/>
        <w:rPr>
          <w:rFonts w:ascii="Arial" w:hAnsi="Arial" w:cs="Arial"/>
          <w:b/>
          <w:caps/>
          <w:spacing w:val="-3"/>
          <w:sz w:val="20"/>
        </w:rPr>
      </w:pPr>
      <w:r w:rsidRPr="007A54A3">
        <w:rPr>
          <w:rFonts w:ascii="Arial" w:hAnsi="Arial" w:cs="Arial"/>
          <w:sz w:val="20"/>
        </w:rPr>
        <w:t>Date: __________________________</w:t>
      </w:r>
      <w:r w:rsidRPr="007A54A3">
        <w:rPr>
          <w:rFonts w:ascii="Arial" w:hAnsi="Arial" w:cs="Arial"/>
          <w:sz w:val="20"/>
        </w:rPr>
        <w:tab/>
      </w:r>
      <w:r w:rsidRPr="007A54A3">
        <w:rPr>
          <w:rFonts w:ascii="Arial" w:hAnsi="Arial" w:cs="Arial"/>
          <w:sz w:val="20"/>
        </w:rPr>
        <w:tab/>
        <w:t>Date:  __________________________</w:t>
      </w:r>
      <w:r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security which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“Personal Information” means any and all data obtained directly from an individual or included in University Records (regardless of format) that (i) identifies or can be used to identify, contact or locate a natural person, or (ii) pertains in any way to an identified natural person. 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“Sensitive Personal Information” is a subset of Personal Information, which due to its nature has been classified by law or by University policy as deserving additional privacy and security protections. 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w:t>
      </w:r>
      <w:r w:rsidRPr="008A78C4">
        <w:rPr>
          <w:rFonts w:ascii="Arial" w:hAnsi="Arial" w:cs="Arial"/>
          <w:sz w:val="20"/>
        </w:rPr>
        <w:lastRenderedPageBreak/>
        <w:t>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“Services” means any and all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Subprocessor</w:t>
      </w:r>
      <w:proofErr w:type="spellEnd"/>
      <w:r w:rsidRPr="008A78C4">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“Transfer” means to disclose or otherwise make the Personal Information available to a third party (including to any affiliate or </w:t>
      </w:r>
      <w:proofErr w:type="spellStart"/>
      <w:r w:rsidRPr="008A78C4">
        <w:rPr>
          <w:rFonts w:ascii="Arial" w:hAnsi="Arial" w:cs="Arial"/>
          <w:sz w:val="20"/>
        </w:rPr>
        <w:t>Subprocessor</w:t>
      </w:r>
      <w:proofErr w:type="spellEnd"/>
      <w:r w:rsidRPr="008A78C4">
        <w:rPr>
          <w:rFonts w:ascii="Arial" w:hAnsi="Arial" w:cs="Arial"/>
          <w:sz w:val="20"/>
        </w:rPr>
        <w:t xml:space="preserve">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r w:rsidRPr="008A78C4">
        <w:rPr>
          <w:rFonts w:ascii="Arial" w:hAnsi="Arial" w:cs="Arial"/>
          <w:sz w:val="20"/>
        </w:rPr>
        <w:t xml:space="preserve">if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r w:rsidRPr="008A78C4">
        <w:rPr>
          <w:rFonts w:ascii="Arial" w:hAnsi="Arial" w:cs="Arial"/>
          <w:sz w:val="20"/>
        </w:rPr>
        <w:t xml:space="preserve">of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r w:rsidRPr="008A78C4">
        <w:rPr>
          <w:rFonts w:ascii="Arial" w:hAnsi="Arial" w:cs="Arial"/>
          <w:sz w:val="20"/>
        </w:rPr>
        <w:t xml:space="preserve">of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will be reviewed by University before Contractor begins providing any Services set forth in the Underlying Agreement. The notice must comply with any legal requirements for the privacy notice in the jurisdictions where it is given, be translated into the languages used in connection with Contractor’s interaction with the individuals, and </w:t>
      </w:r>
      <w:r w:rsidRPr="008A78C4">
        <w:rPr>
          <w:rFonts w:ascii="Arial" w:hAnsi="Arial" w:cs="Arial"/>
          <w:sz w:val="20"/>
        </w:rPr>
        <w:lastRenderedPageBreak/>
        <w:t xml:space="preserve">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Personal Information is considered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proofErr w:type="spellStart"/>
      <w:r w:rsidRPr="008A78C4">
        <w:rPr>
          <w:rFonts w:ascii="Arial" w:hAnsi="Arial" w:cs="Arial"/>
          <w:sz w:val="20"/>
        </w:rPr>
        <w:t>Subprocessor</w:t>
      </w:r>
      <w:proofErr w:type="spellEnd"/>
      <w:r w:rsidRPr="008A78C4">
        <w:rPr>
          <w:rFonts w:ascii="Arial" w:hAnsi="Arial" w:cs="Arial"/>
          <w:sz w:val="20"/>
        </w:rPr>
        <w:t xml:space="preserve"> Contractor will require the </w:t>
      </w:r>
      <w:proofErr w:type="spellStart"/>
      <w:r w:rsidRPr="008A78C4">
        <w:rPr>
          <w:rFonts w:ascii="Arial" w:hAnsi="Arial" w:cs="Arial"/>
          <w:sz w:val="20"/>
        </w:rPr>
        <w:t>Subprocessor</w:t>
      </w:r>
      <w:proofErr w:type="spellEnd"/>
      <w:r w:rsidRPr="008A78C4">
        <w:rPr>
          <w:rFonts w:ascii="Arial" w:hAnsi="Arial" w:cs="Arial"/>
          <w:sz w:val="20"/>
        </w:rPr>
        <w:t xml:space="preserve"> to comply with the same restrictions and obligations that are imposed on Contractor by the Underlying Agreement and this Addendum, including requiring each </w:t>
      </w:r>
      <w:proofErr w:type="spellStart"/>
      <w:r w:rsidRPr="008A78C4">
        <w:rPr>
          <w:rFonts w:ascii="Arial" w:hAnsi="Arial" w:cs="Arial"/>
          <w:sz w:val="20"/>
        </w:rPr>
        <w:t>Subprocessor</w:t>
      </w:r>
      <w:proofErr w:type="spellEnd"/>
      <w:r w:rsidRPr="008A78C4">
        <w:rPr>
          <w:rFonts w:ascii="Arial" w:hAnsi="Arial" w:cs="Arial"/>
          <w:sz w:val="20"/>
        </w:rPr>
        <w:t xml:space="preserve">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8"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has implemented and will maintain documented appropriate business continuity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Prior to allowing any employee, subcontractor, representative, agent, </w:t>
      </w:r>
      <w:proofErr w:type="spellStart"/>
      <w:r w:rsidRPr="008A78C4">
        <w:rPr>
          <w:rFonts w:ascii="Arial" w:hAnsi="Arial" w:cs="Arial"/>
          <w:sz w:val="20"/>
        </w:rPr>
        <w:t>subprocessor</w:t>
      </w:r>
      <w:proofErr w:type="spellEnd"/>
      <w:r w:rsidRPr="008A78C4">
        <w:rPr>
          <w:rFonts w:ascii="Arial" w:hAnsi="Arial" w:cs="Arial"/>
          <w:sz w:val="20"/>
        </w:rPr>
        <w:t xml:space="preserve">,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w:t>
      </w:r>
      <w:r w:rsidRPr="008A78C4">
        <w:rPr>
          <w:rFonts w:ascii="Arial" w:hAnsi="Arial" w:cs="Arial"/>
          <w:sz w:val="20"/>
        </w:rPr>
        <w:lastRenderedPageBreak/>
        <w:t xml:space="preserve">agents, </w:t>
      </w:r>
      <w:proofErr w:type="spellStart"/>
      <w:r w:rsidRPr="008A78C4">
        <w:rPr>
          <w:rFonts w:ascii="Arial" w:hAnsi="Arial" w:cs="Arial"/>
          <w:sz w:val="20"/>
        </w:rPr>
        <w:t>subprocessors</w:t>
      </w:r>
      <w:proofErr w:type="spellEnd"/>
      <w:r w:rsidRPr="008A78C4">
        <w:rPr>
          <w:rFonts w:ascii="Arial" w:hAnsi="Arial" w:cs="Arial"/>
          <w:sz w:val="20"/>
        </w:rPr>
        <w:t>,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within 24 hours after discovery, will report to University any use or disclosure of Personal Information not authorized by this Addendum or the Underlying Agreement. 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Upon request, Contractor will provide University with information about the Contractor’s information security program. Contractor will also submit its data processing facilities for audit, during Contractor’s reasonable business hours, which will be carried out in a mutually-agreeable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r w:rsidRPr="008A78C4">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proofErr w:type="spellStart"/>
      <w:r w:rsidRPr="008A78C4">
        <w:rPr>
          <w:rFonts w:ascii="Arial" w:hAnsi="Arial" w:cs="Arial"/>
          <w:sz w:val="20"/>
        </w:rPr>
        <w:t>Subprocessor</w:t>
      </w:r>
      <w:proofErr w:type="spellEnd"/>
      <w:r w:rsidRPr="008A78C4">
        <w:rPr>
          <w:rFonts w:ascii="Arial" w:hAnsi="Arial" w:cs="Arial"/>
          <w:sz w:val="20"/>
        </w:rPr>
        <w:t>,  subcontractor, representative, agent, or other individual or entity that it provides or engages; and Contractor will certify in writing to University that all records have been returned to University.</w:t>
      </w:r>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 xml:space="preserve">This Agreement is governed by, and shall be construed in accordance with, applicable federal law and the laws of the State of Texas without regard </w:t>
      </w:r>
      <w:proofErr w:type="gramStart"/>
      <w:r w:rsidRPr="008A78C4">
        <w:rPr>
          <w:rFonts w:ascii="Arial" w:hAnsi="Arial" w:cs="Arial"/>
          <w:bCs/>
          <w:sz w:val="20"/>
        </w:rPr>
        <w:t>to choice</w:t>
      </w:r>
      <w:proofErr w:type="gramEnd"/>
      <w:r w:rsidRPr="008A78C4">
        <w:rPr>
          <w:rFonts w:ascii="Arial" w:hAnsi="Arial" w:cs="Arial"/>
          <w:bCs/>
          <w:sz w:val="20"/>
        </w:rPr>
        <w:t xml:space="preserv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be given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applicable U.T. Institution(s)’s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Office of Systemwide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1A58F125" w14:textId="77777777" w:rsidR="00B27F4E" w:rsidRDefault="00B27F4E" w:rsidP="00B27F4E">
      <w:pPr>
        <w:jc w:val="both"/>
        <w:rPr>
          <w:rFonts w:ascii="Arial" w:hAnsi="Arial" w:cs="Arial"/>
          <w:b/>
          <w:bCs/>
          <w:sz w:val="20"/>
        </w:rPr>
      </w:pPr>
      <w:r w:rsidRPr="008A78C4">
        <w:rPr>
          <w:rFonts w:ascii="Arial" w:hAnsi="Arial" w:cs="Arial"/>
          <w:b/>
          <w:bCs/>
          <w:sz w:val="20"/>
        </w:rPr>
        <w:lastRenderedPageBreak/>
        <w:t>AGREED TO AND SIGNED BY THE PARTIES.</w:t>
      </w:r>
    </w:p>
    <w:p w14:paraId="6127E88A" w14:textId="77777777" w:rsidR="00B27F4E" w:rsidRPr="008A78C4" w:rsidRDefault="00B27F4E" w:rsidP="00B27F4E">
      <w:pPr>
        <w:jc w:val="both"/>
        <w:rPr>
          <w:rFonts w:ascii="Arial" w:hAnsi="Arial" w:cs="Arial"/>
          <w:b/>
          <w:bCs/>
          <w:sz w:val="20"/>
        </w:rPr>
      </w:pPr>
    </w:p>
    <w:p w14:paraId="5310D6A4" w14:textId="77777777" w:rsidR="00B27F4E" w:rsidRPr="008A78C4" w:rsidRDefault="00B27F4E" w:rsidP="00B27F4E">
      <w:pPr>
        <w:jc w:val="both"/>
        <w:rPr>
          <w:rFonts w:ascii="Arial" w:hAnsi="Arial" w:cs="Arial"/>
          <w:b/>
          <w:bCs/>
          <w:sz w:val="20"/>
        </w:rPr>
      </w:pPr>
      <w:r w:rsidRPr="008A78C4">
        <w:rPr>
          <w:rFonts w:ascii="Arial" w:hAnsi="Arial" w:cs="Arial"/>
          <w:b/>
          <w:bCs/>
          <w:sz w:val="20"/>
        </w:rPr>
        <w:t>The University of</w:t>
      </w:r>
      <w:r>
        <w:rPr>
          <w:rFonts w:ascii="Arial" w:hAnsi="Arial" w:cs="Arial"/>
          <w:b/>
          <w:bCs/>
          <w:sz w:val="20"/>
        </w:rPr>
        <w:t xml:space="preserve"> Texas Health Science</w:t>
      </w:r>
      <w:r>
        <w:rPr>
          <w:rFonts w:ascii="Arial" w:hAnsi="Arial" w:cs="Arial"/>
          <w:b/>
          <w:bCs/>
          <w:sz w:val="20"/>
        </w:rPr>
        <w:tab/>
      </w:r>
      <w:r w:rsidRPr="008A78C4">
        <w:rPr>
          <w:rFonts w:ascii="Arial" w:hAnsi="Arial" w:cs="Arial"/>
          <w:b/>
          <w:bCs/>
          <w:sz w:val="20"/>
        </w:rPr>
        <w:t>[Contractor]</w:t>
      </w:r>
    </w:p>
    <w:p w14:paraId="4807299E" w14:textId="77777777" w:rsidR="00B27F4E" w:rsidRPr="00EE6BEC" w:rsidRDefault="00B27F4E" w:rsidP="00B27F4E">
      <w:pPr>
        <w:jc w:val="both"/>
        <w:rPr>
          <w:rFonts w:ascii="Arial" w:hAnsi="Arial" w:cs="Arial"/>
          <w:b/>
          <w:sz w:val="20"/>
        </w:rPr>
      </w:pPr>
      <w:r>
        <w:rPr>
          <w:rFonts w:ascii="Arial" w:hAnsi="Arial" w:cs="Arial"/>
          <w:b/>
          <w:sz w:val="20"/>
        </w:rPr>
        <w:t>Center at Houston</w:t>
      </w:r>
    </w:p>
    <w:p w14:paraId="55D47CA5" w14:textId="77777777" w:rsidR="00B27F4E" w:rsidRDefault="00B27F4E" w:rsidP="00B27F4E">
      <w:pPr>
        <w:jc w:val="both"/>
        <w:rPr>
          <w:rFonts w:ascii="Arial" w:hAnsi="Arial" w:cs="Arial"/>
          <w:sz w:val="20"/>
        </w:rPr>
      </w:pPr>
    </w:p>
    <w:p w14:paraId="53BEB582" w14:textId="77777777" w:rsidR="00B27F4E" w:rsidRPr="008A78C4" w:rsidRDefault="00B27F4E" w:rsidP="00B27F4E">
      <w:pPr>
        <w:jc w:val="both"/>
        <w:rPr>
          <w:rFonts w:ascii="Arial" w:hAnsi="Arial" w:cs="Arial"/>
          <w:sz w:val="20"/>
        </w:rPr>
      </w:pPr>
      <w:r w:rsidRPr="008A78C4">
        <w:rPr>
          <w:rFonts w:ascii="Arial" w:hAnsi="Arial" w:cs="Arial"/>
          <w:sz w:val="20"/>
        </w:rPr>
        <w:t>By:</w:t>
      </w:r>
      <w:r>
        <w:rPr>
          <w:rFonts w:ascii="Arial" w:hAnsi="Arial" w:cs="Arial"/>
          <w:sz w:val="20"/>
        </w:rPr>
        <w:t xml:space="preserve">  _</w:t>
      </w:r>
      <w:r w:rsidRPr="008A78C4">
        <w:rPr>
          <w:rFonts w:ascii="Arial" w:hAnsi="Arial" w:cs="Arial"/>
          <w:sz w:val="20"/>
        </w:rPr>
        <w:t>____________________</w:t>
      </w:r>
      <w:r>
        <w:rPr>
          <w:rFonts w:ascii="Arial" w:hAnsi="Arial" w:cs="Arial"/>
          <w:sz w:val="20"/>
        </w:rPr>
        <w:t>__</w:t>
      </w:r>
      <w:r w:rsidRPr="008A78C4">
        <w:rPr>
          <w:rFonts w:ascii="Arial" w:hAnsi="Arial" w:cs="Arial"/>
          <w:sz w:val="20"/>
        </w:rPr>
        <w:t>_</w:t>
      </w:r>
      <w:r>
        <w:rPr>
          <w:rFonts w:ascii="Arial" w:hAnsi="Arial" w:cs="Arial"/>
          <w:sz w:val="20"/>
        </w:rPr>
        <w:t>___</w:t>
      </w:r>
      <w:r w:rsidRPr="008A78C4">
        <w:rPr>
          <w:rFonts w:ascii="Arial" w:hAnsi="Arial" w:cs="Arial"/>
          <w:sz w:val="20"/>
        </w:rPr>
        <w:t>_____</w:t>
      </w:r>
      <w:r w:rsidRPr="008A78C4">
        <w:rPr>
          <w:rFonts w:ascii="Arial" w:hAnsi="Arial" w:cs="Arial"/>
          <w:sz w:val="20"/>
        </w:rPr>
        <w:tab/>
      </w:r>
      <w:r>
        <w:rPr>
          <w:rFonts w:ascii="Arial" w:hAnsi="Arial" w:cs="Arial"/>
          <w:sz w:val="20"/>
        </w:rPr>
        <w:t>B</w:t>
      </w:r>
      <w:r w:rsidRPr="008A78C4">
        <w:rPr>
          <w:rFonts w:ascii="Arial" w:hAnsi="Arial" w:cs="Arial"/>
          <w:sz w:val="20"/>
        </w:rPr>
        <w:t>y: ______________</w:t>
      </w:r>
      <w:r>
        <w:rPr>
          <w:rFonts w:ascii="Arial" w:hAnsi="Arial" w:cs="Arial"/>
          <w:sz w:val="20"/>
        </w:rPr>
        <w:t>____</w:t>
      </w:r>
      <w:r w:rsidRPr="008A78C4">
        <w:rPr>
          <w:rFonts w:ascii="Arial" w:hAnsi="Arial" w:cs="Arial"/>
          <w:sz w:val="20"/>
        </w:rPr>
        <w:t>______________</w:t>
      </w:r>
    </w:p>
    <w:p w14:paraId="564627D3" w14:textId="77777777" w:rsidR="00B27F4E" w:rsidRDefault="00B27F4E" w:rsidP="00B27F4E">
      <w:pPr>
        <w:jc w:val="both"/>
        <w:rPr>
          <w:rFonts w:ascii="Arial" w:hAnsi="Arial" w:cs="Arial"/>
          <w:sz w:val="20"/>
        </w:rPr>
      </w:pPr>
    </w:p>
    <w:p w14:paraId="5C729D32" w14:textId="77777777" w:rsidR="00B27F4E" w:rsidRPr="008A78C4" w:rsidRDefault="00B27F4E" w:rsidP="00B27F4E">
      <w:pPr>
        <w:jc w:val="both"/>
        <w:rPr>
          <w:rFonts w:ascii="Arial" w:hAnsi="Arial" w:cs="Arial"/>
          <w:sz w:val="20"/>
        </w:rPr>
      </w:pPr>
      <w:r w:rsidRPr="008A78C4">
        <w:rPr>
          <w:rFonts w:ascii="Arial" w:hAnsi="Arial" w:cs="Arial"/>
          <w:sz w:val="20"/>
        </w:rPr>
        <w:t xml:space="preserve">Name: </w:t>
      </w:r>
      <w:r>
        <w:rPr>
          <w:rFonts w:ascii="Arial" w:hAnsi="Arial" w:cs="Arial"/>
          <w:sz w:val="20"/>
        </w:rPr>
        <w:t xml:space="preserve"> </w:t>
      </w:r>
      <w:r w:rsidRPr="008A78C4">
        <w:rPr>
          <w:rFonts w:ascii="Arial" w:hAnsi="Arial" w:cs="Arial"/>
          <w:sz w:val="20"/>
        </w:rPr>
        <w:t>________________</w:t>
      </w:r>
      <w:r>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Pr>
          <w:rFonts w:ascii="Arial" w:hAnsi="Arial" w:cs="Arial"/>
          <w:sz w:val="20"/>
        </w:rPr>
        <w:t>____</w:t>
      </w:r>
      <w:r w:rsidRPr="008A78C4">
        <w:rPr>
          <w:rFonts w:ascii="Arial" w:hAnsi="Arial" w:cs="Arial"/>
          <w:sz w:val="20"/>
        </w:rPr>
        <w:t>__________</w:t>
      </w:r>
    </w:p>
    <w:p w14:paraId="3405754F" w14:textId="77777777" w:rsidR="00B27F4E" w:rsidRDefault="00B27F4E" w:rsidP="00B27F4E">
      <w:pPr>
        <w:jc w:val="both"/>
        <w:rPr>
          <w:rFonts w:ascii="Arial" w:hAnsi="Arial" w:cs="Arial"/>
          <w:sz w:val="20"/>
        </w:rPr>
      </w:pPr>
    </w:p>
    <w:p w14:paraId="507231FD" w14:textId="77777777" w:rsidR="00B27F4E" w:rsidRPr="008A78C4" w:rsidRDefault="00B27F4E" w:rsidP="00B27F4E">
      <w:pPr>
        <w:jc w:val="both"/>
        <w:rPr>
          <w:rFonts w:ascii="Arial" w:hAnsi="Arial" w:cs="Arial"/>
          <w:sz w:val="20"/>
        </w:rPr>
      </w:pPr>
      <w:r w:rsidRPr="008A78C4">
        <w:rPr>
          <w:rFonts w:ascii="Arial" w:hAnsi="Arial" w:cs="Arial"/>
          <w:sz w:val="20"/>
        </w:rPr>
        <w:t>Title: ____</w:t>
      </w:r>
      <w:r>
        <w:rPr>
          <w:rFonts w:ascii="Arial" w:hAnsi="Arial" w:cs="Arial"/>
          <w:sz w:val="20"/>
        </w:rPr>
        <w:t>_____</w:t>
      </w:r>
      <w:r w:rsidRPr="008A78C4">
        <w:rPr>
          <w:rFonts w:ascii="Arial" w:hAnsi="Arial" w:cs="Arial"/>
          <w:sz w:val="20"/>
        </w:rPr>
        <w:t>______________________</w:t>
      </w:r>
      <w:r w:rsidRPr="008A78C4">
        <w:rPr>
          <w:rFonts w:ascii="Arial" w:hAnsi="Arial" w:cs="Arial"/>
          <w:sz w:val="20"/>
        </w:rPr>
        <w:tab/>
      </w:r>
      <w:proofErr w:type="gramStart"/>
      <w:r w:rsidRPr="008A78C4">
        <w:rPr>
          <w:rFonts w:ascii="Arial" w:hAnsi="Arial" w:cs="Arial"/>
          <w:sz w:val="20"/>
        </w:rPr>
        <w:t>Title:_</w:t>
      </w:r>
      <w:proofErr w:type="gramEnd"/>
      <w:r w:rsidRPr="008A78C4">
        <w:rPr>
          <w:rFonts w:ascii="Arial" w:hAnsi="Arial" w:cs="Arial"/>
          <w:sz w:val="20"/>
        </w:rPr>
        <w:t>____________________</w:t>
      </w:r>
      <w:r>
        <w:rPr>
          <w:rFonts w:ascii="Arial" w:hAnsi="Arial" w:cs="Arial"/>
          <w:sz w:val="20"/>
        </w:rPr>
        <w:t>_____</w:t>
      </w:r>
      <w:r w:rsidRPr="008A78C4">
        <w:rPr>
          <w:rFonts w:ascii="Arial" w:hAnsi="Arial" w:cs="Arial"/>
          <w:sz w:val="20"/>
        </w:rPr>
        <w:t>_____</w:t>
      </w:r>
      <w:r w:rsidRPr="008A78C4">
        <w:rPr>
          <w:rFonts w:ascii="Arial" w:hAnsi="Arial" w:cs="Arial"/>
          <w:sz w:val="20"/>
        </w:rPr>
        <w:br/>
      </w:r>
    </w:p>
    <w:p w14:paraId="47F48C07" w14:textId="77777777" w:rsidR="00B27F4E" w:rsidRPr="008A78C4" w:rsidRDefault="00B27F4E" w:rsidP="00B27F4E">
      <w:pPr>
        <w:jc w:val="both"/>
        <w:rPr>
          <w:rFonts w:ascii="Arial" w:hAnsi="Arial" w:cs="Arial"/>
          <w:sz w:val="20"/>
        </w:rPr>
      </w:pPr>
      <w:r w:rsidRPr="008A78C4">
        <w:rPr>
          <w:rFonts w:ascii="Arial" w:hAnsi="Arial" w:cs="Arial"/>
          <w:sz w:val="20"/>
        </w:rPr>
        <w:t xml:space="preserve">Date: </w:t>
      </w:r>
      <w:r>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footerReference w:type="default" r:id="rId129"/>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E43ED" w14:textId="77777777" w:rsidR="009A2F02" w:rsidRDefault="009A2F02">
      <w:pPr>
        <w:spacing w:line="20" w:lineRule="exact"/>
      </w:pPr>
    </w:p>
  </w:endnote>
  <w:endnote w:type="continuationSeparator" w:id="0">
    <w:p w14:paraId="26F17CB2" w14:textId="77777777" w:rsidR="009A2F02" w:rsidRDefault="009A2F02">
      <w:r>
        <w:t xml:space="preserve"> </w:t>
      </w:r>
    </w:p>
  </w:endnote>
  <w:endnote w:type="continuationNotice" w:id="1">
    <w:p w14:paraId="34024D81" w14:textId="77777777" w:rsidR="009A2F02" w:rsidRDefault="009A2F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C166" w14:textId="77777777" w:rsidR="009A2F02" w:rsidRDefault="009A2F02">
    <w:pPr>
      <w:pStyle w:val="Footer"/>
      <w:framePr w:wrap="around" w:vAnchor="text" w:hAnchor="margin" w:xAlign="center" w:y="1"/>
      <w:rPr>
        <w:rStyle w:val="PageNumber"/>
      </w:rPr>
    </w:pPr>
  </w:p>
  <w:p w14:paraId="1BE71749" w14:textId="77777777" w:rsidR="009A2F02" w:rsidRDefault="009A2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68CD6" w14:textId="77777777" w:rsidR="009A2F02" w:rsidRDefault="009A2F02">
      <w:r>
        <w:separator/>
      </w:r>
    </w:p>
  </w:footnote>
  <w:footnote w:type="continuationSeparator" w:id="0">
    <w:p w14:paraId="01F98697" w14:textId="77777777" w:rsidR="009A2F02" w:rsidRDefault="009A2F02">
      <w:r>
        <w:continuationSeparator/>
      </w:r>
    </w:p>
  </w:footnote>
  <w:footnote w:type="continuationNotice" w:id="1">
    <w:p w14:paraId="71624987" w14:textId="77777777" w:rsidR="009A2F02" w:rsidRDefault="009A2F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18"/>
    <w:rsid w:val="00000391"/>
    <w:rsid w:val="00000E4F"/>
    <w:rsid w:val="00001A73"/>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0EAC"/>
    <w:rsid w:val="00021648"/>
    <w:rsid w:val="0002350D"/>
    <w:rsid w:val="000235D1"/>
    <w:rsid w:val="00024849"/>
    <w:rsid w:val="0002489F"/>
    <w:rsid w:val="0002498A"/>
    <w:rsid w:val="00024A8B"/>
    <w:rsid w:val="00025222"/>
    <w:rsid w:val="00025C6B"/>
    <w:rsid w:val="00025EFC"/>
    <w:rsid w:val="000261BD"/>
    <w:rsid w:val="00026E13"/>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370"/>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45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0B1"/>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A83"/>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2CD4"/>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22"/>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5C60"/>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167"/>
    <w:rsid w:val="003C780F"/>
    <w:rsid w:val="003D051F"/>
    <w:rsid w:val="003D066A"/>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317"/>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671E2"/>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27A1"/>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8B6"/>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3584"/>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183"/>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1B91"/>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1BA8"/>
    <w:rsid w:val="008A2EC7"/>
    <w:rsid w:val="008A350C"/>
    <w:rsid w:val="008A38D7"/>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0812"/>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59C9"/>
    <w:rsid w:val="00997208"/>
    <w:rsid w:val="0099736B"/>
    <w:rsid w:val="0099753E"/>
    <w:rsid w:val="00997645"/>
    <w:rsid w:val="009A096E"/>
    <w:rsid w:val="009A10F5"/>
    <w:rsid w:val="009A2D70"/>
    <w:rsid w:val="009A2F02"/>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1870"/>
    <w:rsid w:val="00AF4EB5"/>
    <w:rsid w:val="00AF6E61"/>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27F4E"/>
    <w:rsid w:val="00B307EF"/>
    <w:rsid w:val="00B311C2"/>
    <w:rsid w:val="00B3127E"/>
    <w:rsid w:val="00B316D9"/>
    <w:rsid w:val="00B318E7"/>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781"/>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36B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1C5"/>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583D"/>
    <w:rsid w:val="00D26169"/>
    <w:rsid w:val="00D26986"/>
    <w:rsid w:val="00D2787A"/>
    <w:rsid w:val="00D278BB"/>
    <w:rsid w:val="00D30169"/>
    <w:rsid w:val="00D30536"/>
    <w:rsid w:val="00D31918"/>
    <w:rsid w:val="00D320AA"/>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862"/>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8A3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r.texas.gov/View-About-DIR/Information-Security/Pages/Content.aspx?id=154%5d"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s://www.utsystem.edu/offices/systemwide-compliance/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hyperlink" Target="https://statutes.capitol.texas.gov/Docs/GV/htm/GV.552.htm" TargetMode="External"/><Relationship Id="rId128" Type="http://schemas.openxmlformats.org/officeDocument/2006/relationships/hyperlink" Target="http://www.utsystem.edu/board-of-regents/policy-library/policies/uts165-information-resources-use-and-security-policy" TargetMode="External"/><Relationship Id="rId5" Type="http://schemas.openxmlformats.org/officeDocument/2006/relationships/footnotes" Target="footnotes.xm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s://statutes.capitol.texas.gov/Docs/GV/htm/GV.2054.htm"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59" Type="http://schemas.openxmlformats.org/officeDocument/2006/relationships/hyperlink" Target="http://www.statutes.legis.state.tx.us/Docs/GV/htm/GV.2260.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s://statutes.capitol.texas.gov/Docs/GV/htm/GV.2271.htm" TargetMode="External"/><Relationship Id="rId124" Type="http://schemas.openxmlformats.org/officeDocument/2006/relationships/hyperlink" Target="https://statutes.capitol.texas.gov/Docs/GV/htm/GV.552.htm" TargetMode="External"/><Relationship Id="rId129" Type="http://schemas.openxmlformats.org/officeDocument/2006/relationships/footer" Target="footer1.xml"/><Relationship Id="rId54"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49" Type="http://schemas.openxmlformats.org/officeDocument/2006/relationships/hyperlink" Target="http://www.statutes.legis.state.tx.us/Docs/ED/htm/ED.73.htm"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s://statutes.capitol.texas.gov/Docs/GV/htm/GV.2054.htm" TargetMode="External"/><Relationship Id="rId44" Type="http://schemas.openxmlformats.org/officeDocument/2006/relationships/hyperlink" Target="http://www.statutes.legis.state.tx.us/Docs/GV/htm/GV.2252.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130" Type="http://schemas.openxmlformats.org/officeDocument/2006/relationships/fontTable" Target="fontTable.xm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s://statutes.capitol.texas.gov/Docs/GV/htm/GV.2271.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s://statutes.capitol.texas.gov/Docs/GV/htm/GV.552.htm" TargetMode="External"/><Relationship Id="rId125" Type="http://schemas.openxmlformats.org/officeDocument/2006/relationships/hyperlink" Target="https://fmx.cpa.state.tx.us/fm/travel/travelrates.php" TargetMode="Externa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s://statutes.capitol.texas.gov/Docs/GV/htm/GV.2271.htm" TargetMode="External"/><Relationship Id="rId115" Type="http://schemas.openxmlformats.org/officeDocument/2006/relationships/hyperlink" Target="http://www.legis.state.tx.us/tlodocs/85R/billtext/html/SB00253F.htm" TargetMode="External"/><Relationship Id="rId131" Type="http://schemas.openxmlformats.org/officeDocument/2006/relationships/theme" Target="theme/theme1.xm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56" Type="http://schemas.openxmlformats.org/officeDocument/2006/relationships/hyperlink" Target="http://www.statutes.legis.state.tx.us/Docs/GV/htm/GV.2260.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26" Type="http://schemas.openxmlformats.org/officeDocument/2006/relationships/hyperlink" Target="http://uscode.house.gov/view.xhtml?req=(title:20%20section:1232g%20edition:prelim)%20OR%20(granuleid:USC-prelim-title20-section1232g)&amp;f=treesort&amp;edition=prelim&amp;num=0&amp;jumpTo=true" TargetMode="Externa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hyperlink" Target="https://statutes.capitol.texas.gov/Docs/GV/htm/GV.552.htm" TargetMode="External"/><Relationship Id="rId3" Type="http://schemas.openxmlformats.org/officeDocument/2006/relationships/settings" Target="settings.xml"/><Relationship Id="rId25" Type="http://schemas.openxmlformats.org/officeDocument/2006/relationships/hyperlink" Target="http://texreg.sos.state.tx.us/public/readtac$ext.TacPage?sl=R&amp;app=9&amp;p_dir=&amp;p_rloc=&amp;p_tloc=&amp;p_ploc=&amp;pg=1&amp;p_tac=&amp;ti=34&amp;pt=1&amp;ch=20&amp;rl=285" TargetMode="External"/><Relationship Id="rId46" Type="http://schemas.openxmlformats.org/officeDocument/2006/relationships/hyperlink" Target="http://www.statutes.legis.state.tx.us/Docs/GV/htm/GV.2251.htm" TargetMode="External"/><Relationship Id="rId67" Type="http://schemas.openxmlformats.org/officeDocument/2006/relationships/hyperlink" Target="http://www.uthouston.edu/hoop/standards-of-conduct-guide.htm" TargetMode="External"/><Relationship Id="rId116" Type="http://schemas.openxmlformats.org/officeDocument/2006/relationships/hyperlink" Target="http://www.statutes.legis.state.tx.us/Docs/GV/htm/GV.2270.htm" TargetMode="Externa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62" Type="http://schemas.openxmlformats.org/officeDocument/2006/relationships/hyperlink" Target="http://www.statutes.legis.state.tx.us/Docs/GV/htm/GV.2260.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111" Type="http://schemas.openxmlformats.org/officeDocument/2006/relationships/hyperlink" Target="http://www.statutes.legis.state.tx.us/Docs/GV/htm/GV.808.htm" TargetMode="External"/><Relationship Id="rId15" Type="http://schemas.openxmlformats.org/officeDocument/2006/relationships/hyperlink" Target="http://www.statutes.legis.state.tx.us/Docs/GV/htm/GV.2252.htm" TargetMode="External"/><Relationship Id="rId36" Type="http://schemas.openxmlformats.org/officeDocument/2006/relationships/hyperlink" Target="http://www.utsystem.edu/board-of-regents/policy-library/policies/uts165-information-resources-use-and-security-policy"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27" Type="http://schemas.openxmlformats.org/officeDocument/2006/relationships/hyperlink" Target="http://www.utsystem.edu/board-of-regents/policy-library/policies/uts165-information-resources-use-and-security-policy"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hyperlink" Target="https://statutes.capitol.texas.gov/Docs/GV/htm/GV.552.htm" TargetMode="External"/><Relationship Id="rId4" Type="http://schemas.openxmlformats.org/officeDocument/2006/relationships/webSettings" Target="webSettings.xml"/><Relationship Id="rId9" Type="http://schemas.openxmlformats.org/officeDocument/2006/relationships/hyperlink" Target="http://www.uth.edu/hoop/index.htm" TargetMode="External"/><Relationship Id="rId26" Type="http://schemas.openxmlformats.org/officeDocument/2006/relationships/hyperlink" Target="http://texreg.sos.state.tx.us/public/readtac$ext.TacPage?sl=R&amp;app=9&amp;p_dir=&amp;p_rloc=&amp;p_tloc=&amp;p_ploc=&amp;pg=1&amp;p_tac=&amp;ti=34&amp;pt=1&amp;ch=20&amp;rl=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19592</Words>
  <Characters>128579</Characters>
  <Application>Microsoft Office Word</Application>
  <DocSecurity>0</DocSecurity>
  <Lines>1071</Lines>
  <Paragraphs>295</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147876</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Gomez, Felix M</cp:lastModifiedBy>
  <cp:revision>2</cp:revision>
  <cp:lastPrinted>2018-06-06T20:19:00Z</cp:lastPrinted>
  <dcterms:created xsi:type="dcterms:W3CDTF">2020-04-08T20:40:00Z</dcterms:created>
  <dcterms:modified xsi:type="dcterms:W3CDTF">2020-04-08T20:40:00Z</dcterms:modified>
</cp:coreProperties>
</file>