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92" w:rsidRPr="00D01547" w:rsidRDefault="001E5FE6" w:rsidP="00826792">
      <w:pPr>
        <w:rPr>
          <w:rFonts w:asciiTheme="minorHAnsi" w:hAnsiTheme="minorHAnsi"/>
          <w:sz w:val="22"/>
          <w:szCs w:val="22"/>
        </w:rPr>
      </w:pPr>
      <w:r w:rsidRPr="001E5FE6">
        <w:rPr>
          <w:rFonts w:asciiTheme="minorHAnsi" w:hAnsiTheme="minorHAnsi" w:cs="Arial"/>
          <w:b/>
          <w:sz w:val="22"/>
          <w:szCs w:val="22"/>
        </w:rPr>
        <w:t>GUIDANCE: Feasibility Assessment</w:t>
      </w:r>
    </w:p>
    <w:p w:rsidR="00826792" w:rsidRPr="00D01547" w:rsidRDefault="00826792" w:rsidP="00826792">
      <w:pPr>
        <w:rPr>
          <w:rFonts w:asciiTheme="minorHAnsi" w:hAnsiTheme="minorHAnsi"/>
          <w:sz w:val="22"/>
          <w:szCs w:val="22"/>
        </w:rPr>
      </w:pPr>
    </w:p>
    <w:p w:rsidR="00CD73C3" w:rsidRDefault="00D01547">
      <w:pPr>
        <w:jc w:val="both"/>
        <w:rPr>
          <w:rFonts w:asciiTheme="minorHAnsi" w:hAnsiTheme="minorHAnsi"/>
          <w:sz w:val="22"/>
          <w:szCs w:val="22"/>
        </w:rPr>
      </w:pPr>
      <w:r>
        <w:rPr>
          <w:rFonts w:asciiTheme="minorHAnsi" w:hAnsiTheme="minorHAnsi"/>
          <w:b/>
          <w:sz w:val="22"/>
          <w:szCs w:val="22"/>
        </w:rPr>
        <w:t xml:space="preserve">Policy: </w:t>
      </w:r>
      <w:r w:rsidRPr="00D01547">
        <w:rPr>
          <w:rFonts w:asciiTheme="minorHAnsi" w:hAnsiTheme="minorHAnsi"/>
          <w:sz w:val="22"/>
          <w:szCs w:val="22"/>
        </w:rPr>
        <w:t>Researchers should assess the feasibility of conducting a research study before preparing for submission to CPHS for review and approval. The researcher must consider the scientific, ethical and financial aspects of conducting the research study.</w:t>
      </w:r>
    </w:p>
    <w:p w:rsidR="00D01547" w:rsidRPr="00D01547" w:rsidRDefault="00D01547" w:rsidP="00D01547">
      <w:pPr>
        <w:rPr>
          <w:rFonts w:asciiTheme="minorHAnsi" w:hAnsiTheme="minorHAnsi"/>
          <w:sz w:val="22"/>
          <w:szCs w:val="22"/>
        </w:rPr>
      </w:pPr>
    </w:p>
    <w:p w:rsidR="00CD73C3" w:rsidRDefault="001E5FE6">
      <w:pPr>
        <w:pStyle w:val="BodyText"/>
        <w:jc w:val="both"/>
        <w:rPr>
          <w:rFonts w:asciiTheme="minorHAnsi" w:hAnsiTheme="minorHAnsi"/>
          <w:sz w:val="22"/>
          <w:szCs w:val="22"/>
        </w:rPr>
      </w:pPr>
      <w:r w:rsidRPr="001E5FE6">
        <w:rPr>
          <w:rFonts w:asciiTheme="minorHAnsi" w:hAnsiTheme="minorHAnsi"/>
          <w:b/>
          <w:sz w:val="22"/>
          <w:szCs w:val="22"/>
        </w:rPr>
        <w:t>Invitation to Conduct Feasibility Assessment</w:t>
      </w:r>
      <w:r w:rsidRPr="001E5FE6">
        <w:rPr>
          <w:rFonts w:asciiTheme="minorHAnsi" w:hAnsiTheme="minorHAnsi"/>
          <w:sz w:val="22"/>
          <w:szCs w:val="22"/>
        </w:rPr>
        <w:t xml:space="preserve"> – Sponsors may contact faculty and staff directly with an invitation to conduct a feasibility assessment. The faculty and staff assessing feasibility should review the protocol and determine the scientific, ethical and financial merits of conducting the study at this institution. Faculty and staff may be asked to sign confidentiality agreements with the sponsor prior to receiving material for review. Confidentiality agreements must be submitted to the Office of Sponsored research. The researcher is not authorized by the university to agree to any budgetary figures proposed by the sponsor at this point.</w:t>
      </w:r>
    </w:p>
    <w:p w:rsidR="00DF2707" w:rsidRPr="00D01547" w:rsidRDefault="00DF2707" w:rsidP="00DF2707">
      <w:pPr>
        <w:pStyle w:val="BodyText"/>
        <w:jc w:val="both"/>
        <w:rPr>
          <w:rFonts w:asciiTheme="minorHAnsi" w:hAnsiTheme="minorHAnsi"/>
          <w:sz w:val="22"/>
          <w:szCs w:val="22"/>
        </w:rPr>
      </w:pPr>
    </w:p>
    <w:p w:rsidR="00CD73C3" w:rsidRDefault="001E5FE6">
      <w:pPr>
        <w:pStyle w:val="BodyText"/>
        <w:jc w:val="both"/>
        <w:rPr>
          <w:rFonts w:asciiTheme="minorHAnsi" w:hAnsiTheme="minorHAnsi"/>
          <w:sz w:val="22"/>
          <w:szCs w:val="22"/>
        </w:rPr>
      </w:pPr>
      <w:r w:rsidRPr="001E5FE6">
        <w:rPr>
          <w:rFonts w:asciiTheme="minorHAnsi" w:hAnsiTheme="minorHAnsi"/>
          <w:b/>
          <w:sz w:val="22"/>
          <w:szCs w:val="22"/>
        </w:rPr>
        <w:t>Invitation to Participate in a Clinical Trial / Research</w:t>
      </w:r>
      <w:r w:rsidRPr="001E5FE6">
        <w:rPr>
          <w:rFonts w:asciiTheme="minorHAnsi" w:hAnsiTheme="minorHAnsi"/>
          <w:sz w:val="22"/>
          <w:szCs w:val="22"/>
        </w:rPr>
        <w:t xml:space="preserve"> – The sponsor or a researcher from another institution may contact researchers directly with invitation to participate in a research study.  The researcher should review the protocol and assess feasibility at this institution.  </w:t>
      </w:r>
    </w:p>
    <w:p w:rsidR="00A578D3" w:rsidRPr="00D01547" w:rsidRDefault="00A578D3" w:rsidP="00A578D3">
      <w:pPr>
        <w:pStyle w:val="BodyText"/>
        <w:jc w:val="both"/>
        <w:rPr>
          <w:rFonts w:asciiTheme="minorHAnsi" w:hAnsiTheme="minorHAnsi"/>
          <w:sz w:val="22"/>
          <w:szCs w:val="22"/>
        </w:rPr>
      </w:pPr>
    </w:p>
    <w:p w:rsidR="00CD73C3" w:rsidRDefault="001E5FE6">
      <w:pPr>
        <w:pStyle w:val="BodyText"/>
        <w:jc w:val="both"/>
        <w:rPr>
          <w:rFonts w:asciiTheme="minorHAnsi" w:hAnsiTheme="minorHAnsi"/>
          <w:sz w:val="22"/>
          <w:szCs w:val="22"/>
        </w:rPr>
      </w:pPr>
      <w:r w:rsidRPr="001E5FE6">
        <w:rPr>
          <w:rFonts w:asciiTheme="minorHAnsi" w:hAnsiTheme="minorHAnsi"/>
          <w:sz w:val="22"/>
          <w:szCs w:val="22"/>
        </w:rPr>
        <w:t>Researchers may use the pre-study checklist as a guide in determining whether or not they can and should participate or initiate a new research study. Researchers are strongly encouraged to work with their research team to make decisions about participation in a new research study or initiating a new research study.</w:t>
      </w:r>
    </w:p>
    <w:p w:rsidR="00B4398B" w:rsidRPr="00D01547" w:rsidRDefault="00B4398B" w:rsidP="00B4398B">
      <w:pPr>
        <w:pStyle w:val="ListParagraph"/>
        <w:rPr>
          <w:rFonts w:asciiTheme="minorHAnsi" w:hAnsiTheme="minorHAnsi"/>
          <w:sz w:val="22"/>
          <w:szCs w:val="22"/>
        </w:rPr>
      </w:pPr>
    </w:p>
    <w:p w:rsidR="00CD73C3" w:rsidRDefault="001E5FE6">
      <w:pPr>
        <w:pStyle w:val="BodyText"/>
        <w:jc w:val="both"/>
        <w:rPr>
          <w:rFonts w:asciiTheme="minorHAnsi" w:hAnsiTheme="minorHAnsi"/>
          <w:sz w:val="22"/>
          <w:szCs w:val="22"/>
        </w:rPr>
      </w:pPr>
      <w:r w:rsidRPr="001E5FE6">
        <w:rPr>
          <w:rFonts w:asciiTheme="minorHAnsi" w:hAnsiTheme="minorHAnsi"/>
          <w:sz w:val="22"/>
          <w:szCs w:val="22"/>
        </w:rPr>
        <w:t>The sponsor may visit at an early stage of the process in order to see if facilities are adequate (pharmacy/drug storage, clinic space, laboratory, etc.) and to gauge the interest and qualifications of proposed study personnel</w:t>
      </w:r>
    </w:p>
    <w:p w:rsidR="00B4398B" w:rsidRPr="00D01547" w:rsidRDefault="00B4398B" w:rsidP="00B4398B">
      <w:pPr>
        <w:pStyle w:val="ListParagraph"/>
        <w:rPr>
          <w:rFonts w:asciiTheme="minorHAnsi" w:hAnsiTheme="minorHAnsi"/>
          <w:sz w:val="22"/>
          <w:szCs w:val="22"/>
        </w:rPr>
      </w:pPr>
    </w:p>
    <w:p w:rsidR="00CD73C3" w:rsidRDefault="001E5FE6">
      <w:pPr>
        <w:pStyle w:val="BodyText"/>
        <w:jc w:val="both"/>
        <w:rPr>
          <w:rFonts w:asciiTheme="minorHAnsi" w:hAnsiTheme="minorHAnsi"/>
          <w:sz w:val="22"/>
          <w:szCs w:val="22"/>
        </w:rPr>
      </w:pPr>
      <w:r w:rsidRPr="001E5FE6">
        <w:rPr>
          <w:rFonts w:asciiTheme="minorHAnsi" w:hAnsiTheme="minorHAnsi"/>
          <w:sz w:val="22"/>
          <w:szCs w:val="22"/>
        </w:rPr>
        <w:t xml:space="preserve">All tests and procedures required by the protocol for each patient encounter should be considered. Departments such as Pathology, Radiology, Pharmacy, etc. should be contacted if their services will be required in order to determine if they can perform the tests. </w:t>
      </w:r>
    </w:p>
    <w:p w:rsidR="00822231" w:rsidRPr="00D01547" w:rsidRDefault="00822231" w:rsidP="00163252">
      <w:pPr>
        <w:pStyle w:val="BodyText"/>
        <w:jc w:val="both"/>
        <w:rPr>
          <w:rFonts w:asciiTheme="minorHAnsi" w:hAnsiTheme="minorHAnsi"/>
          <w:sz w:val="22"/>
          <w:szCs w:val="22"/>
        </w:rPr>
      </w:pPr>
    </w:p>
    <w:p w:rsidR="00A872A2" w:rsidRPr="00D01547" w:rsidRDefault="001E5FE6" w:rsidP="00A872A2">
      <w:pPr>
        <w:rPr>
          <w:rFonts w:asciiTheme="minorHAnsi" w:hAnsiTheme="minorHAnsi"/>
          <w:b/>
          <w:sz w:val="22"/>
          <w:szCs w:val="22"/>
        </w:rPr>
      </w:pPr>
      <w:r w:rsidRPr="001E5FE6">
        <w:rPr>
          <w:rFonts w:asciiTheme="minorHAnsi" w:hAnsiTheme="minorHAnsi"/>
          <w:b/>
          <w:sz w:val="22"/>
          <w:szCs w:val="22"/>
        </w:rPr>
        <w:t>Applicable Regulations and Guidelines</w:t>
      </w:r>
    </w:p>
    <w:p w:rsidR="00CD73C3" w:rsidRDefault="00D01547">
      <w:pPr>
        <w:numPr>
          <w:ilvl w:val="0"/>
          <w:numId w:val="25"/>
        </w:numPr>
        <w:rPr>
          <w:rFonts w:asciiTheme="minorHAnsi" w:hAnsiTheme="minorHAnsi"/>
          <w:sz w:val="22"/>
          <w:szCs w:val="22"/>
        </w:rPr>
      </w:pPr>
      <w:r>
        <w:rPr>
          <w:rFonts w:asciiTheme="minorHAnsi" w:hAnsiTheme="minorHAnsi"/>
          <w:sz w:val="22"/>
          <w:szCs w:val="22"/>
        </w:rPr>
        <w:t>None</w:t>
      </w:r>
    </w:p>
    <w:p w:rsidR="00D01547" w:rsidRDefault="00D01547" w:rsidP="00A872A2">
      <w:pPr>
        <w:rPr>
          <w:rFonts w:asciiTheme="minorHAnsi" w:hAnsiTheme="minorHAnsi"/>
          <w:sz w:val="22"/>
          <w:szCs w:val="22"/>
        </w:rPr>
      </w:pPr>
    </w:p>
    <w:p w:rsidR="00D01547" w:rsidRPr="00D01547" w:rsidRDefault="001E5FE6" w:rsidP="00A872A2">
      <w:pPr>
        <w:rPr>
          <w:rFonts w:asciiTheme="minorHAnsi" w:hAnsiTheme="minorHAnsi"/>
          <w:b/>
          <w:sz w:val="22"/>
          <w:szCs w:val="22"/>
        </w:rPr>
      </w:pPr>
      <w:r w:rsidRPr="001E5FE6">
        <w:rPr>
          <w:rFonts w:asciiTheme="minorHAnsi" w:hAnsiTheme="minorHAnsi"/>
          <w:b/>
          <w:sz w:val="22"/>
          <w:szCs w:val="22"/>
        </w:rPr>
        <w:t>Applicable Institutional Policies and Procedures</w:t>
      </w:r>
    </w:p>
    <w:p w:rsidR="00CD73C3" w:rsidRDefault="00D01547">
      <w:pPr>
        <w:numPr>
          <w:ilvl w:val="0"/>
          <w:numId w:val="24"/>
        </w:numPr>
        <w:rPr>
          <w:rFonts w:asciiTheme="minorHAnsi" w:hAnsiTheme="minorHAnsi"/>
          <w:sz w:val="22"/>
          <w:szCs w:val="22"/>
        </w:rPr>
      </w:pPr>
      <w:r>
        <w:rPr>
          <w:rFonts w:asciiTheme="minorHAnsi" w:hAnsiTheme="minorHAnsi"/>
          <w:sz w:val="22"/>
          <w:szCs w:val="22"/>
        </w:rPr>
        <w:t>None</w:t>
      </w:r>
    </w:p>
    <w:p w:rsidR="00D01547" w:rsidRPr="00D01547" w:rsidRDefault="00D01547" w:rsidP="00A872A2">
      <w:pPr>
        <w:rPr>
          <w:rFonts w:asciiTheme="minorHAnsi" w:hAnsiTheme="minorHAnsi"/>
          <w:sz w:val="22"/>
          <w:szCs w:val="22"/>
        </w:rPr>
      </w:pPr>
    </w:p>
    <w:p w:rsidR="00A872A2" w:rsidRPr="00D01547" w:rsidRDefault="00D01547" w:rsidP="00A872A2">
      <w:pPr>
        <w:rPr>
          <w:rFonts w:asciiTheme="minorHAnsi" w:hAnsiTheme="minorHAnsi"/>
          <w:b/>
          <w:sz w:val="22"/>
          <w:szCs w:val="22"/>
        </w:rPr>
      </w:pPr>
      <w:r>
        <w:rPr>
          <w:rFonts w:asciiTheme="minorHAnsi" w:hAnsiTheme="minorHAnsi"/>
          <w:b/>
          <w:sz w:val="22"/>
          <w:szCs w:val="22"/>
        </w:rPr>
        <w:t>Attachments</w:t>
      </w:r>
    </w:p>
    <w:p w:rsidR="00CD73C3" w:rsidRDefault="001E5FE6">
      <w:pPr>
        <w:numPr>
          <w:ilvl w:val="0"/>
          <w:numId w:val="23"/>
        </w:numPr>
        <w:rPr>
          <w:rFonts w:asciiTheme="minorHAnsi" w:hAnsiTheme="minorHAnsi"/>
          <w:sz w:val="22"/>
          <w:szCs w:val="22"/>
        </w:rPr>
      </w:pPr>
      <w:r w:rsidRPr="001E5FE6">
        <w:rPr>
          <w:rFonts w:asciiTheme="minorHAnsi" w:hAnsiTheme="minorHAnsi"/>
          <w:sz w:val="22"/>
          <w:szCs w:val="22"/>
        </w:rPr>
        <w:t xml:space="preserve">Feasibility </w:t>
      </w:r>
      <w:r w:rsidR="00D01547">
        <w:rPr>
          <w:rFonts w:asciiTheme="minorHAnsi" w:hAnsiTheme="minorHAnsi"/>
          <w:sz w:val="22"/>
          <w:szCs w:val="22"/>
        </w:rPr>
        <w:t>Questionnaire</w:t>
      </w:r>
    </w:p>
    <w:p w:rsidR="00CD73C3" w:rsidRDefault="00CD73C3">
      <w:pPr>
        <w:rPr>
          <w:rFonts w:asciiTheme="minorHAnsi" w:hAnsiTheme="minorHAnsi"/>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pBdr>
          <w:top w:val="single" w:sz="4" w:space="1" w:color="auto"/>
        </w:pBdr>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 xml:space="preserve">If you find errors in this document, contact </w:t>
      </w:r>
      <w:hyperlink r:id="rId6" w:history="1">
        <w:r w:rsidRPr="0078442A">
          <w:rPr>
            <w:rStyle w:val="Hyperlink"/>
            <w:rFonts w:asciiTheme="minorHAnsi" w:hAnsiTheme="minorHAnsi" w:cs="Arial"/>
            <w:b/>
            <w:bCs/>
            <w:color w:val="000000" w:themeColor="text1"/>
            <w:sz w:val="22"/>
            <w:szCs w:val="22"/>
          </w:rPr>
          <w:t>clinicaltrials@uth.tmc.edu</w:t>
        </w:r>
      </w:hyperlink>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6681"/>
      </w:tblGrid>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Document Number:</w:t>
            </w:r>
          </w:p>
        </w:tc>
        <w:tc>
          <w:tcPr>
            <w:tcW w:w="7200" w:type="dxa"/>
            <w:vAlign w:val="center"/>
          </w:tcPr>
          <w:p w:rsidR="00D01547" w:rsidRPr="00D01547" w:rsidRDefault="00FC3297" w:rsidP="00D01547">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402-004</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Author:</w:t>
            </w: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Cs/>
                <w:color w:val="000000" w:themeColor="text1"/>
                <w:sz w:val="22"/>
                <w:szCs w:val="22"/>
              </w:rPr>
            </w:pPr>
            <w:r w:rsidRPr="00D01547">
              <w:rPr>
                <w:rFonts w:asciiTheme="minorHAnsi" w:hAnsiTheme="minorHAnsi" w:cs="Arial"/>
                <w:bCs/>
                <w:color w:val="000000" w:themeColor="text1"/>
                <w:sz w:val="22"/>
                <w:szCs w:val="22"/>
              </w:rPr>
              <w:t>Clinical Trials Resource Center</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Effective:</w:t>
            </w:r>
          </w:p>
        </w:tc>
        <w:tc>
          <w:tcPr>
            <w:tcW w:w="7200" w:type="dxa"/>
            <w:vAlign w:val="center"/>
          </w:tcPr>
          <w:p w:rsidR="00D01547" w:rsidRPr="00D01547" w:rsidRDefault="00FC3297" w:rsidP="00D01547">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June 1, 2011</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Revision History:</w:t>
            </w: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Cs/>
                <w:color w:val="000000" w:themeColor="text1"/>
                <w:sz w:val="22"/>
                <w:szCs w:val="22"/>
              </w:rPr>
            </w:pPr>
            <w:r w:rsidRPr="00D01547">
              <w:rPr>
                <w:rFonts w:asciiTheme="minorHAnsi" w:hAnsiTheme="minorHAnsi" w:cs="Arial"/>
                <w:bCs/>
                <w:color w:val="000000" w:themeColor="text1"/>
                <w:sz w:val="22"/>
                <w:szCs w:val="22"/>
              </w:rPr>
              <w:t>None</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r>
    </w:tbl>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p w:rsidR="00EE5D0C" w:rsidRDefault="00EE5D0C">
      <w:pPr>
        <w:rPr>
          <w:rFonts w:asciiTheme="minorHAnsi" w:hAnsiTheme="minorHAnsi"/>
          <w:sz w:val="22"/>
          <w:szCs w:val="22"/>
        </w:rPr>
      </w:pPr>
    </w:p>
    <w:sectPr w:rsidR="00EE5D0C" w:rsidSect="001E5F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690EEB"/>
    <w:multiLevelType w:val="multilevel"/>
    <w:tmpl w:val="C898111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504"/>
        </w:tabs>
        <w:ind w:left="1080"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767E0E"/>
    <w:multiLevelType w:val="multilevel"/>
    <w:tmpl w:val="2AE4DB5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FD547F"/>
    <w:multiLevelType w:val="hybridMultilevel"/>
    <w:tmpl w:val="C5F02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1F7DE9"/>
    <w:multiLevelType w:val="multilevel"/>
    <w:tmpl w:val="BED8FAA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955DEA"/>
    <w:multiLevelType w:val="hybridMultilevel"/>
    <w:tmpl w:val="45F41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0A2027"/>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6F25CA0"/>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92A6E51"/>
    <w:multiLevelType w:val="singleLevel"/>
    <w:tmpl w:val="67FCC32E"/>
    <w:lvl w:ilvl="0">
      <w:start w:val="1"/>
      <w:numFmt w:val="upperLetter"/>
      <w:lvlText w:val="%1."/>
      <w:legacy w:legacy="1" w:legacySpace="0" w:legacyIndent="360"/>
      <w:lvlJc w:val="left"/>
      <w:pPr>
        <w:ind w:left="360" w:hanging="360"/>
      </w:pPr>
    </w:lvl>
  </w:abstractNum>
  <w:abstractNum w:abstractNumId="9">
    <w:nsid w:val="2BDE21F4"/>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03D6161"/>
    <w:multiLevelType w:val="hybridMultilevel"/>
    <w:tmpl w:val="0228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1D22A3"/>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83517F6"/>
    <w:multiLevelType w:val="hybridMultilevel"/>
    <w:tmpl w:val="D14494BA"/>
    <w:lvl w:ilvl="0" w:tplc="0B4A96D2">
      <w:start w:val="1"/>
      <w:numFmt w:val="bullet"/>
      <w:lvlText w:val="•"/>
      <w:lvlJc w:val="left"/>
      <w:pPr>
        <w:tabs>
          <w:tab w:val="num" w:pos="720"/>
        </w:tabs>
        <w:ind w:left="720" w:hanging="360"/>
      </w:pPr>
      <w:rPr>
        <w:rFonts w:ascii="Times New Roman" w:hAnsi="Times New Roman" w:hint="default"/>
      </w:rPr>
    </w:lvl>
    <w:lvl w:ilvl="1" w:tplc="8CE6F3B8" w:tentative="1">
      <w:start w:val="1"/>
      <w:numFmt w:val="bullet"/>
      <w:lvlText w:val="•"/>
      <w:lvlJc w:val="left"/>
      <w:pPr>
        <w:tabs>
          <w:tab w:val="num" w:pos="1440"/>
        </w:tabs>
        <w:ind w:left="1440" w:hanging="360"/>
      </w:pPr>
      <w:rPr>
        <w:rFonts w:ascii="Times New Roman" w:hAnsi="Times New Roman" w:hint="default"/>
      </w:rPr>
    </w:lvl>
    <w:lvl w:ilvl="2" w:tplc="A04C19D8" w:tentative="1">
      <w:start w:val="1"/>
      <w:numFmt w:val="bullet"/>
      <w:lvlText w:val="•"/>
      <w:lvlJc w:val="left"/>
      <w:pPr>
        <w:tabs>
          <w:tab w:val="num" w:pos="2160"/>
        </w:tabs>
        <w:ind w:left="2160" w:hanging="360"/>
      </w:pPr>
      <w:rPr>
        <w:rFonts w:ascii="Times New Roman" w:hAnsi="Times New Roman" w:hint="default"/>
      </w:rPr>
    </w:lvl>
    <w:lvl w:ilvl="3" w:tplc="EB92D678" w:tentative="1">
      <w:start w:val="1"/>
      <w:numFmt w:val="bullet"/>
      <w:lvlText w:val="•"/>
      <w:lvlJc w:val="left"/>
      <w:pPr>
        <w:tabs>
          <w:tab w:val="num" w:pos="2880"/>
        </w:tabs>
        <w:ind w:left="2880" w:hanging="360"/>
      </w:pPr>
      <w:rPr>
        <w:rFonts w:ascii="Times New Roman" w:hAnsi="Times New Roman" w:hint="default"/>
      </w:rPr>
    </w:lvl>
    <w:lvl w:ilvl="4" w:tplc="583691A4" w:tentative="1">
      <w:start w:val="1"/>
      <w:numFmt w:val="bullet"/>
      <w:lvlText w:val="•"/>
      <w:lvlJc w:val="left"/>
      <w:pPr>
        <w:tabs>
          <w:tab w:val="num" w:pos="3600"/>
        </w:tabs>
        <w:ind w:left="3600" w:hanging="360"/>
      </w:pPr>
      <w:rPr>
        <w:rFonts w:ascii="Times New Roman" w:hAnsi="Times New Roman" w:hint="default"/>
      </w:rPr>
    </w:lvl>
    <w:lvl w:ilvl="5" w:tplc="D9A071BC" w:tentative="1">
      <w:start w:val="1"/>
      <w:numFmt w:val="bullet"/>
      <w:lvlText w:val="•"/>
      <w:lvlJc w:val="left"/>
      <w:pPr>
        <w:tabs>
          <w:tab w:val="num" w:pos="4320"/>
        </w:tabs>
        <w:ind w:left="4320" w:hanging="360"/>
      </w:pPr>
      <w:rPr>
        <w:rFonts w:ascii="Times New Roman" w:hAnsi="Times New Roman" w:hint="default"/>
      </w:rPr>
    </w:lvl>
    <w:lvl w:ilvl="6" w:tplc="D45E9C6A" w:tentative="1">
      <w:start w:val="1"/>
      <w:numFmt w:val="bullet"/>
      <w:lvlText w:val="•"/>
      <w:lvlJc w:val="left"/>
      <w:pPr>
        <w:tabs>
          <w:tab w:val="num" w:pos="5040"/>
        </w:tabs>
        <w:ind w:left="5040" w:hanging="360"/>
      </w:pPr>
      <w:rPr>
        <w:rFonts w:ascii="Times New Roman" w:hAnsi="Times New Roman" w:hint="default"/>
      </w:rPr>
    </w:lvl>
    <w:lvl w:ilvl="7" w:tplc="F564C61C" w:tentative="1">
      <w:start w:val="1"/>
      <w:numFmt w:val="bullet"/>
      <w:lvlText w:val="•"/>
      <w:lvlJc w:val="left"/>
      <w:pPr>
        <w:tabs>
          <w:tab w:val="num" w:pos="5760"/>
        </w:tabs>
        <w:ind w:left="5760" w:hanging="360"/>
      </w:pPr>
      <w:rPr>
        <w:rFonts w:ascii="Times New Roman" w:hAnsi="Times New Roman" w:hint="default"/>
      </w:rPr>
    </w:lvl>
    <w:lvl w:ilvl="8" w:tplc="C562E4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5922D7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FD72B43"/>
    <w:multiLevelType w:val="multilevel"/>
    <w:tmpl w:val="45F41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1D466F3"/>
    <w:multiLevelType w:val="hybridMultilevel"/>
    <w:tmpl w:val="7B9A1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0D6919"/>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F323A7B"/>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BBA043E"/>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19B29E3"/>
    <w:multiLevelType w:val="multilevel"/>
    <w:tmpl w:val="E00CB7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62655F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870435D"/>
    <w:multiLevelType w:val="hybridMultilevel"/>
    <w:tmpl w:val="09B4A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2D5541"/>
    <w:multiLevelType w:val="hybridMultilevel"/>
    <w:tmpl w:val="CA781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5440B8"/>
    <w:multiLevelType w:val="hybridMultilevel"/>
    <w:tmpl w:val="207EE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
  </w:num>
  <w:num w:numId="4">
    <w:abstractNumId w:val="12"/>
  </w:num>
  <w:num w:numId="5">
    <w:abstractNumId w:val="4"/>
  </w:num>
  <w:num w:numId="6">
    <w:abstractNumId w:val="2"/>
  </w:num>
  <w:num w:numId="7">
    <w:abstractNumId w:val="17"/>
  </w:num>
  <w:num w:numId="8">
    <w:abstractNumId w:val="10"/>
  </w:num>
  <w:num w:numId="9">
    <w:abstractNumId w:val="24"/>
  </w:num>
  <w:num w:numId="10">
    <w:abstractNumId w:val="5"/>
  </w:num>
  <w:num w:numId="11">
    <w:abstractNumId w:val="15"/>
  </w:num>
  <w:num w:numId="12">
    <w:abstractNumId w:val="23"/>
  </w:num>
  <w:num w:numId="13">
    <w:abstractNumId w:val="18"/>
  </w:num>
  <w:num w:numId="14">
    <w:abstractNumId w:val="14"/>
  </w:num>
  <w:num w:numId="15">
    <w:abstractNumId w:val="11"/>
  </w:num>
  <w:num w:numId="16">
    <w:abstractNumId w:val="21"/>
  </w:num>
  <w:num w:numId="17">
    <w:abstractNumId w:val="7"/>
  </w:num>
  <w:num w:numId="18">
    <w:abstractNumId w:val="6"/>
  </w:num>
  <w:num w:numId="19">
    <w:abstractNumId w:val="19"/>
  </w:num>
  <w:num w:numId="20">
    <w:abstractNumId w:val="8"/>
  </w:num>
  <w:num w:numId="2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2">
    <w:abstractNumId w:val="9"/>
  </w:num>
  <w:num w:numId="23">
    <w:abstractNumId w:val="16"/>
  </w:num>
  <w:num w:numId="24">
    <w:abstractNumId w:val="2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826792"/>
    <w:rsid w:val="000F253A"/>
    <w:rsid w:val="00154F6B"/>
    <w:rsid w:val="00163252"/>
    <w:rsid w:val="00187D9E"/>
    <w:rsid w:val="0019604F"/>
    <w:rsid w:val="001A4F3D"/>
    <w:rsid w:val="001E5FE6"/>
    <w:rsid w:val="0025507E"/>
    <w:rsid w:val="002D647C"/>
    <w:rsid w:val="003B50D4"/>
    <w:rsid w:val="003C4BFA"/>
    <w:rsid w:val="004F468E"/>
    <w:rsid w:val="00676362"/>
    <w:rsid w:val="006F227F"/>
    <w:rsid w:val="00754E35"/>
    <w:rsid w:val="00762D2F"/>
    <w:rsid w:val="007848AE"/>
    <w:rsid w:val="00822231"/>
    <w:rsid w:val="00826792"/>
    <w:rsid w:val="0083194B"/>
    <w:rsid w:val="008C0087"/>
    <w:rsid w:val="00954C97"/>
    <w:rsid w:val="00A578D3"/>
    <w:rsid w:val="00A872A2"/>
    <w:rsid w:val="00AE5A6E"/>
    <w:rsid w:val="00AF6B09"/>
    <w:rsid w:val="00B20AB3"/>
    <w:rsid w:val="00B25E39"/>
    <w:rsid w:val="00B4398B"/>
    <w:rsid w:val="00C1419D"/>
    <w:rsid w:val="00C209D3"/>
    <w:rsid w:val="00C40D7D"/>
    <w:rsid w:val="00C953E4"/>
    <w:rsid w:val="00CD73C3"/>
    <w:rsid w:val="00D01547"/>
    <w:rsid w:val="00D44847"/>
    <w:rsid w:val="00D77526"/>
    <w:rsid w:val="00DF2707"/>
    <w:rsid w:val="00E17305"/>
    <w:rsid w:val="00EE5D0C"/>
    <w:rsid w:val="00F46EE7"/>
    <w:rsid w:val="00FC3297"/>
    <w:rsid w:val="00FE7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22231"/>
    <w:rPr>
      <w:rFonts w:ascii="Arial" w:hAnsi="Arial"/>
      <w:sz w:val="20"/>
      <w:szCs w:val="20"/>
    </w:rPr>
  </w:style>
  <w:style w:type="character" w:styleId="Hyperlink">
    <w:name w:val="Hyperlink"/>
    <w:basedOn w:val="DefaultParagraphFont"/>
    <w:rsid w:val="00A578D3"/>
    <w:rPr>
      <w:color w:val="0000FF"/>
      <w:u w:val="single"/>
    </w:rPr>
  </w:style>
  <w:style w:type="paragraph" w:styleId="ListParagraph">
    <w:name w:val="List Paragraph"/>
    <w:basedOn w:val="Normal"/>
    <w:uiPriority w:val="34"/>
    <w:qFormat/>
    <w:rsid w:val="00B4398B"/>
    <w:pPr>
      <w:ind w:left="720"/>
    </w:pPr>
  </w:style>
  <w:style w:type="paragraph" w:styleId="BalloonText">
    <w:name w:val="Balloon Text"/>
    <w:basedOn w:val="Normal"/>
    <w:link w:val="BalloonTextChar"/>
    <w:rsid w:val="00B4398B"/>
    <w:rPr>
      <w:rFonts w:ascii="Tahoma" w:hAnsi="Tahoma" w:cs="Tahoma"/>
      <w:sz w:val="16"/>
      <w:szCs w:val="16"/>
    </w:rPr>
  </w:style>
  <w:style w:type="character" w:customStyle="1" w:styleId="BalloonTextChar">
    <w:name w:val="Balloon Text Char"/>
    <w:basedOn w:val="DefaultParagraphFont"/>
    <w:link w:val="BalloonText"/>
    <w:rsid w:val="00B43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inicaltrials@uth.tm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3257-65E3-4AB8-8BA4-0A2C88DF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subject/>
  <dc:creator>ssridhar2</dc:creator>
  <cp:keywords/>
  <dc:description/>
  <cp:lastModifiedBy>ssridhar2</cp:lastModifiedBy>
  <cp:revision>6</cp:revision>
  <dcterms:created xsi:type="dcterms:W3CDTF">2010-08-25T14:12:00Z</dcterms:created>
  <dcterms:modified xsi:type="dcterms:W3CDTF">2011-05-19T15:51:00Z</dcterms:modified>
</cp:coreProperties>
</file>