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DE14F6" w:rsidRDefault="00B82C1D" w:rsidP="00B82C1D">
      <w:pPr>
        <w:pStyle w:val="Heading7"/>
        <w:jc w:val="center"/>
        <w:rPr>
          <w:rFonts w:ascii="Calibri" w:hAnsi="Calibri"/>
          <w:b w:val="0"/>
          <w:sz w:val="36"/>
          <w:szCs w:val="36"/>
        </w:rPr>
      </w:pPr>
      <w:r>
        <w:rPr>
          <w:rFonts w:ascii="Calibri" w:hAnsi="Calibri"/>
          <w:b w:val="0"/>
          <w:sz w:val="36"/>
          <w:szCs w:val="36"/>
        </w:rPr>
        <w:t>REQUEST FOR PROPOSAL</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DE14F6" w:rsidRDefault="00B82C1D" w:rsidP="00B82C1D">
      <w:pPr>
        <w:pStyle w:val="Heading4"/>
        <w:ind w:left="0"/>
        <w:jc w:val="center"/>
        <w:rPr>
          <w:rFonts w:ascii="Calibri" w:hAnsi="Calibri"/>
          <w:b w:val="0"/>
          <w:bCs/>
          <w:sz w:val="32"/>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B82C1D">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Pr="007C79A0">
        <w:rPr>
          <w:rFonts w:ascii="Calibri" w:hAnsi="Calibri"/>
          <w:b w:val="0"/>
          <w:bCs/>
          <w:i w:val="0"/>
          <w:iCs/>
          <w:sz w:val="40"/>
          <w:szCs w:val="40"/>
        </w:rPr>
        <w:t>-</w:t>
      </w:r>
      <w:r w:rsidR="007C79A0" w:rsidRPr="007C79A0">
        <w:rPr>
          <w:rFonts w:ascii="Calibri" w:hAnsi="Calibri"/>
          <w:b w:val="0"/>
          <w:bCs/>
          <w:i w:val="0"/>
          <w:iCs/>
          <w:sz w:val="40"/>
          <w:szCs w:val="40"/>
        </w:rPr>
        <w:t>R1507</w:t>
      </w:r>
      <w:r w:rsidR="007C79A0">
        <w:rPr>
          <w:rFonts w:ascii="Calibri" w:hAnsi="Calibri"/>
          <w:b w:val="0"/>
          <w:bCs/>
          <w:i w:val="0"/>
          <w:iCs/>
          <w:sz w:val="40"/>
          <w:szCs w:val="40"/>
        </w:rPr>
        <w:t xml:space="preserve"> COMM</w:t>
      </w:r>
      <w:r w:rsidR="00A64DED">
        <w:rPr>
          <w:rFonts w:ascii="Calibri" w:hAnsi="Calibri"/>
          <w:b w:val="0"/>
          <w:bCs/>
          <w:i w:val="0"/>
          <w:iCs/>
          <w:sz w:val="40"/>
          <w:szCs w:val="40"/>
        </w:rPr>
        <w:t>ERCIAL IRB</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A64DED">
        <w:rPr>
          <w:rFonts w:ascii="Calibri" w:hAnsi="Calibri"/>
          <w:iCs/>
          <w:sz w:val="28"/>
          <w:szCs w:val="28"/>
        </w:rPr>
        <w:t>Monday, December 8, 2014 at 11:00 a.m.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iCs/>
          <w:szCs w:val="22"/>
        </w:rPr>
      </w:pPr>
      <w:r w:rsidRPr="00DE14F6">
        <w:rPr>
          <w:rFonts w:ascii="Calibri" w:hAnsi="Calibri"/>
          <w:szCs w:val="22"/>
        </w:rPr>
        <w:t>Prepared By:</w:t>
      </w:r>
      <w:r w:rsidR="002719DD">
        <w:rPr>
          <w:rFonts w:ascii="Calibri" w:hAnsi="Calibri"/>
          <w:szCs w:val="22"/>
        </w:rPr>
        <w:t xml:space="preserve">  </w:t>
      </w:r>
      <w:r w:rsidR="00D4668C">
        <w:rPr>
          <w:rFonts w:ascii="Calibri" w:hAnsi="Calibri"/>
          <w:iCs/>
          <w:szCs w:val="22"/>
        </w:rPr>
        <w:t>Angela Rodriguez, Senior Buyer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D4668C" w:rsidP="00B82C1D">
      <w:pPr>
        <w:jc w:val="center"/>
        <w:rPr>
          <w:rFonts w:asciiTheme="minorHAnsi" w:hAnsiTheme="minorHAnsi"/>
          <w:szCs w:val="22"/>
        </w:rPr>
      </w:pPr>
      <w:r>
        <w:rPr>
          <w:rFonts w:asciiTheme="minorHAnsi" w:hAnsiTheme="minorHAnsi"/>
          <w:szCs w:val="22"/>
        </w:rPr>
        <w:t>Angela.Y.Rodriguez@uth.tmc.edu</w:t>
      </w:r>
    </w:p>
    <w:p w:rsidR="003E3579" w:rsidRDefault="00D4668C" w:rsidP="00B82C1D">
      <w:pPr>
        <w:jc w:val="center"/>
      </w:pPr>
      <w:r>
        <w:rPr>
          <w:rFonts w:asciiTheme="minorHAnsi" w:hAnsiTheme="minorHAnsi"/>
          <w:szCs w:val="22"/>
        </w:rPr>
        <w:t>November 7, 2014</w:t>
      </w:r>
    </w:p>
    <w:p w:rsidR="003E3579" w:rsidRDefault="003E3579"/>
    <w:p w:rsidR="003E3579" w:rsidRDefault="003E3579">
      <w:pPr>
        <w:sectPr w:rsidR="003E3579">
          <w:headerReference w:type="default" r:id="rId9"/>
          <w:footerReference w:type="default" r:id="rId10"/>
          <w:type w:val="continuous"/>
          <w:pgSz w:w="12240" w:h="15840" w:code="1"/>
          <w:pgMar w:top="1440" w:right="1440" w:bottom="1440" w:left="1440" w:header="576" w:footer="576" w:gutter="0"/>
          <w:pgNumType w:start="1"/>
          <w:cols w:space="720"/>
          <w:titlePg/>
        </w:sectPr>
      </w:pPr>
      <w:r>
        <w:tab/>
      </w:r>
      <w:r>
        <w:tab/>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BD7D5C">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BD7D5C">
        <w:rPr>
          <w:rFonts w:ascii="Arial" w:hAnsi="Arial" w:cs="Arial"/>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BD7D5C">
        <w:rPr>
          <w:rFonts w:ascii="Arial" w:hAnsi="Arial" w:cs="Arial"/>
        </w:rPr>
        <w:t>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77EA2">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2719DD"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719DD">
        <w:rPr>
          <w:rFonts w:ascii="Arial" w:hAnsi="Arial" w:cs="Arial"/>
          <w:b/>
          <w:bCs/>
          <w:u w:val="single"/>
        </w:rPr>
        <w:t>APPENDIX FIVE</w:t>
      </w:r>
      <w:r w:rsidR="00112175" w:rsidRPr="002719DD">
        <w:rPr>
          <w:rFonts w:ascii="Arial" w:hAnsi="Arial" w:cs="Arial"/>
          <w:b/>
          <w:bCs/>
        </w:rPr>
        <w:t>:</w:t>
      </w:r>
      <w:r w:rsidR="00112175" w:rsidRPr="002719DD">
        <w:rPr>
          <w:rFonts w:ascii="Arial" w:hAnsi="Arial" w:cs="Arial"/>
          <w:b/>
          <w:bCs/>
        </w:rPr>
        <w:tab/>
      </w:r>
      <w:r w:rsidR="00834582" w:rsidRPr="002719DD">
        <w:rPr>
          <w:rFonts w:ascii="Arial" w:hAnsi="Arial" w:cs="Arial"/>
          <w:b/>
          <w:bCs/>
        </w:rPr>
        <w:t>ACCESS BY INDIVIDUALS WITH DISABILITIES</w:t>
      </w:r>
    </w:p>
    <w:p w:rsidR="00112175" w:rsidRPr="002719D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2719D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719DD">
        <w:rPr>
          <w:rFonts w:ascii="Arial" w:hAnsi="Arial" w:cs="Arial"/>
          <w:b/>
          <w:bCs/>
          <w:u w:val="single"/>
        </w:rPr>
        <w:t>APPENDIX SIX</w:t>
      </w:r>
      <w:r w:rsidRPr="002719DD">
        <w:rPr>
          <w:rFonts w:ascii="Arial" w:hAnsi="Arial" w:cs="Arial"/>
          <w:b/>
          <w:bCs/>
        </w:rPr>
        <w:t>:</w:t>
      </w:r>
      <w:r w:rsidRPr="002719DD">
        <w:rPr>
          <w:rFonts w:ascii="Arial" w:hAnsi="Arial" w:cs="Arial"/>
          <w:b/>
          <w:bCs/>
        </w:rPr>
        <w:tab/>
        <w:t>ELECTRONIC AND INFORMATION RESOURCES ENVIRONMENT</w:t>
      </w:r>
    </w:p>
    <w:p w:rsidR="00112175" w:rsidRPr="002719DD" w:rsidRDefault="00112175" w:rsidP="00DA017C">
      <w:pPr>
        <w:tabs>
          <w:tab w:val="left" w:pos="720"/>
          <w:tab w:val="left" w:pos="2520"/>
          <w:tab w:val="left" w:pos="5040"/>
        </w:tabs>
        <w:rPr>
          <w:rFonts w:ascii="Arial" w:hAnsi="Arial" w:cs="Arial"/>
          <w:b/>
          <w:bCs/>
        </w:rPr>
      </w:pPr>
      <w:r w:rsidRPr="002719DD">
        <w:rPr>
          <w:rFonts w:ascii="Arial" w:hAnsi="Arial" w:cs="Arial"/>
          <w:b/>
          <w:bCs/>
        </w:rPr>
        <w:tab/>
      </w:r>
      <w:r w:rsidRPr="002719DD">
        <w:rPr>
          <w:rFonts w:ascii="Arial" w:hAnsi="Arial" w:cs="Arial"/>
          <w:b/>
          <w:bCs/>
        </w:rPr>
        <w:tab/>
        <w:t>SPECIFICATIONS</w:t>
      </w:r>
    </w:p>
    <w:p w:rsidR="00D901D2" w:rsidRPr="002719DD" w:rsidRDefault="00D901D2" w:rsidP="00DA017C">
      <w:pPr>
        <w:tabs>
          <w:tab w:val="left" w:pos="720"/>
          <w:tab w:val="left" w:pos="2520"/>
          <w:tab w:val="left" w:pos="5040"/>
        </w:tabs>
        <w:rPr>
          <w:rFonts w:ascii="Arial" w:hAnsi="Arial" w:cs="Arial"/>
          <w:b/>
          <w:bCs/>
        </w:rPr>
      </w:pPr>
    </w:p>
    <w:p w:rsidR="00C169C0" w:rsidRPr="002719DD" w:rsidRDefault="00D901D2" w:rsidP="00B479C7">
      <w:pPr>
        <w:ind w:left="2520" w:hanging="2520"/>
        <w:rPr>
          <w:rFonts w:ascii="Arial Bold" w:hAnsi="Arial Bold"/>
          <w:b/>
          <w:caps/>
          <w:spacing w:val="-3"/>
        </w:rPr>
      </w:pPr>
      <w:r w:rsidRPr="002719DD">
        <w:rPr>
          <w:rFonts w:ascii="Arial" w:hAnsi="Arial"/>
          <w:b/>
          <w:u w:val="single"/>
        </w:rPr>
        <w:t>APPENDIX SEVEN</w:t>
      </w:r>
      <w:r w:rsidRPr="002719DD">
        <w:rPr>
          <w:rFonts w:ascii="Arial" w:hAnsi="Arial"/>
          <w:b/>
        </w:rPr>
        <w:t>:</w:t>
      </w:r>
      <w:r w:rsidR="00C47B1B" w:rsidRPr="002719DD">
        <w:rPr>
          <w:rFonts w:ascii="Arial" w:hAnsi="Arial"/>
          <w:b/>
        </w:rPr>
        <w:tab/>
      </w:r>
      <w:r w:rsidR="00C169C0" w:rsidRPr="002719DD">
        <w:rPr>
          <w:rFonts w:ascii="Arial Bold" w:hAnsi="Arial Bold"/>
          <w:b/>
          <w:caps/>
          <w:spacing w:val="-3"/>
        </w:rPr>
        <w:t xml:space="preserve">Security Characteristics and Functionality of </w:t>
      </w:r>
    </w:p>
    <w:p w:rsidR="00D901D2" w:rsidRPr="0091655F" w:rsidRDefault="00C169C0" w:rsidP="00B479C7">
      <w:pPr>
        <w:ind w:left="1800" w:firstLine="720"/>
        <w:rPr>
          <w:rFonts w:ascii="Arial Bold" w:hAnsi="Arial Bold" w:cs="Arial"/>
          <w:caps/>
          <w:szCs w:val="22"/>
        </w:rPr>
      </w:pPr>
      <w:r w:rsidRPr="002719DD">
        <w:rPr>
          <w:rFonts w:ascii="Arial Bold" w:hAnsi="Arial Bold"/>
          <w:b/>
          <w:caps/>
          <w:spacing w:val="-3"/>
        </w:rPr>
        <w:t>Contractor</w:t>
      </w:r>
      <w:r w:rsidR="0064788B" w:rsidRPr="002719DD">
        <w:rPr>
          <w:rFonts w:ascii="Arial Bold" w:hAnsi="Arial Bold"/>
          <w:b/>
          <w:caps/>
          <w:spacing w:val="-3"/>
        </w:rPr>
        <w:t>’</w:t>
      </w:r>
      <w:r w:rsidRPr="002719DD">
        <w:rPr>
          <w:rFonts w:ascii="Arial Bold" w:hAnsi="Arial Bold"/>
          <w:b/>
          <w:caps/>
          <w:spacing w:val="-3"/>
        </w:rPr>
        <w:t>s INFORMATION RESOURCES</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1"/>
          <w:footerReference w:type="first" r:id="rId12"/>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bookmarkStart w:id="0" w:name="_GoBack"/>
      <w:bookmarkEnd w:id="0"/>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6901 Bertner Avenue</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1825 Pressler Street</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w:t>
      </w:r>
      <w:r w:rsidR="00B323C6">
        <w:rPr>
          <w:rFonts w:cs="Arial"/>
          <w:sz w:val="22"/>
          <w:szCs w:val="22"/>
        </w:rPr>
        <w:t xml:space="preserve">its own hospital – the Harris County Psychiatric Center (HCPC), </w:t>
      </w:r>
      <w:r w:rsidRPr="003E4B7C">
        <w:rPr>
          <w:rFonts w:cs="Arial"/>
          <w:sz w:val="22"/>
          <w:szCs w:val="22"/>
        </w:rPr>
        <w:t>Memorial Hermann Hospital System (its primary teaching hospital), and other affiliated institutions</w:t>
      </w:r>
      <w:r w:rsidR="00B323C6">
        <w:rPr>
          <w:rFonts w:cs="Arial"/>
          <w:sz w:val="22"/>
          <w:szCs w:val="22"/>
        </w:rPr>
        <w:t xml:space="preserve"> including Harris Health/ LBJ Hospital</w:t>
      </w:r>
      <w:r w:rsidRPr="003E4B7C">
        <w:rPr>
          <w:rFonts w:cs="Arial"/>
          <w:sz w:val="22"/>
          <w:szCs w:val="22"/>
        </w:rPr>
        <w:t xml:space="preserve">.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The University of Texas Health Science Cente</w:t>
      </w:r>
      <w:r w:rsidR="007D25C0">
        <w:rPr>
          <w:rFonts w:ascii="Arial" w:hAnsi="Arial" w:cs="Arial"/>
          <w:szCs w:val="22"/>
        </w:rPr>
        <w:t>r at Houston System has nearly 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sidR="007D25C0">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7D25C0" w:rsidRPr="00FD2B4F" w:rsidRDefault="007D25C0" w:rsidP="007D25C0">
      <w:pPr>
        <w:tabs>
          <w:tab w:val="left" w:pos="360"/>
        </w:tabs>
        <w:ind w:left="720"/>
      </w:pPr>
      <w:r w:rsidRPr="00FD2B4F">
        <w:t>The University of Texas Health Science Center at Houston (</w:t>
      </w:r>
      <w:r>
        <w:t>UTHealth</w:t>
      </w:r>
      <w:r w:rsidRPr="00FD2B4F">
        <w:t>) was established in 1972, and is one of fifteen academic institutions in</w:t>
      </w:r>
      <w:r>
        <w:t xml:space="preserve"> The University of Texas System</w:t>
      </w:r>
      <w:r w:rsidRPr="00FD2B4F">
        <w:t xml:space="preserve">. </w:t>
      </w:r>
      <w:r>
        <w:t>UTHealth</w:t>
      </w:r>
      <w:r w:rsidRPr="00FD2B4F">
        <w:rPr>
          <w:rFonts w:cs="Arial"/>
        </w:rPr>
        <w:t xml:space="preserve"> was created by The University of Texas System Board of Regents and supported by the Texas Legislature in 1972. Located in the world renowned Texas Medical Center, it brings together a dental school, a graduate school of biomedical sciences, a medical school , a school of publ</w:t>
      </w:r>
      <w:r>
        <w:rPr>
          <w:rFonts w:cs="Arial"/>
        </w:rPr>
        <w:t>ic health , a school of nursing</w:t>
      </w:r>
      <w:r w:rsidRPr="00FD2B4F">
        <w:rPr>
          <w:rFonts w:cs="Arial"/>
        </w:rPr>
        <w:t>, a school of biomedical informatics, a psychiatric center and an institute of molecular medicine for t</w:t>
      </w:r>
      <w:r>
        <w:rPr>
          <w:rFonts w:cs="Arial"/>
        </w:rPr>
        <w:t>he prevention of human diseases</w:t>
      </w:r>
      <w:r w:rsidRPr="00FD2B4F">
        <w:rPr>
          <w:rFonts w:cs="Arial"/>
        </w:rPr>
        <w:t xml:space="preserve">. </w:t>
      </w:r>
    </w:p>
    <w:p w:rsidR="007D25C0" w:rsidRPr="00FD2B4F" w:rsidRDefault="007D25C0" w:rsidP="007D25C0">
      <w:pPr>
        <w:tabs>
          <w:tab w:val="left" w:pos="360"/>
        </w:tabs>
        <w:rPr>
          <w:rFonts w:cs="Arial"/>
        </w:rPr>
      </w:pPr>
    </w:p>
    <w:p w:rsidR="007D25C0" w:rsidRPr="00FD2B4F" w:rsidRDefault="007D25C0" w:rsidP="007D25C0">
      <w:pPr>
        <w:tabs>
          <w:tab w:val="left" w:pos="360"/>
        </w:tabs>
        <w:ind w:left="720"/>
        <w:rPr>
          <w:rFonts w:cs="Arial"/>
        </w:rPr>
      </w:pPr>
      <w:r w:rsidRPr="00FD2B4F">
        <w:rPr>
          <w:rFonts w:cs="Arial"/>
        </w:rPr>
        <w:lastRenderedPageBreak/>
        <w:t xml:space="preserve">As a comprehensive health science </w:t>
      </w:r>
      <w:r>
        <w:rPr>
          <w:rFonts w:cs="Arial"/>
        </w:rPr>
        <w:t>center</w:t>
      </w:r>
      <w:r w:rsidRPr="00FD2B4F">
        <w:rPr>
          <w:rFonts w:cs="Arial"/>
        </w:rPr>
        <w:t xml:space="preserve">, the mission of </w:t>
      </w:r>
      <w:r>
        <w:rPr>
          <w:rFonts w:cs="Arial"/>
        </w:rPr>
        <w:t>UTHealth</w:t>
      </w:r>
      <w:r w:rsidRPr="00FD2B4F">
        <w:rPr>
          <w:rFonts w:cs="Arial"/>
          <w:i/>
        </w:rPr>
        <w:t xml:space="preserve"> is to educate health science professionals, discover and translate advances in the biomedical and social sciences, and model the best practices in clinical care and public health.</w:t>
      </w:r>
      <w:r>
        <w:rPr>
          <w:rFonts w:cs="Arial"/>
          <w:i/>
        </w:rPr>
        <w:t xml:space="preserve">  </w:t>
      </w:r>
      <w:r w:rsidRPr="00FD2B4F">
        <w:rPr>
          <w:rFonts w:cs="Arial"/>
        </w:rPr>
        <w:t xml:space="preserve">The institution pursues this mission in order to advance the quality of human life by enhancing the diagnosis, treatment, and prevention of disease and injury, as well as promoting individual health and community </w:t>
      </w:r>
      <w:r w:rsidR="00144828" w:rsidRPr="00FD2B4F">
        <w:rPr>
          <w:rFonts w:cs="Arial"/>
        </w:rPr>
        <w:t>well-being</w:t>
      </w:r>
      <w:r w:rsidRPr="00FD2B4F">
        <w:rPr>
          <w:rFonts w:cs="Arial"/>
        </w:rPr>
        <w:t>.</w:t>
      </w:r>
    </w:p>
    <w:p w:rsidR="007D25C0" w:rsidRPr="00FD2B4F" w:rsidRDefault="007D25C0" w:rsidP="007D25C0"/>
    <w:p w:rsidR="007D25C0" w:rsidRPr="00D73F18" w:rsidRDefault="007D25C0" w:rsidP="007D25C0">
      <w:pPr>
        <w:ind w:left="720"/>
      </w:pPr>
      <w:r>
        <w:t>UTHealth</w:t>
      </w:r>
      <w:r w:rsidRPr="00FD2B4F">
        <w:t xml:space="preserve">’s Human </w:t>
      </w:r>
      <w:r>
        <w:t xml:space="preserve">Research </w:t>
      </w:r>
      <w:r w:rsidRPr="00FD2B4F">
        <w:t xml:space="preserve">Protection Program </w:t>
      </w:r>
      <w:r>
        <w:t xml:space="preserve">(HRPP) </w:t>
      </w:r>
      <w:r w:rsidRPr="00FD2B4F">
        <w:t>is centrally administered and serves all the institutions</w:t>
      </w:r>
      <w:r>
        <w:t>’</w:t>
      </w:r>
      <w:r w:rsidRPr="00FD2B4F">
        <w:t xml:space="preserve"> schools/units. Leadership is provided by the Vice President for Human Research Protections.</w:t>
      </w:r>
      <w:r>
        <w:t xml:space="preserve">  </w:t>
      </w:r>
      <w:r w:rsidRPr="00D73F18">
        <w:t xml:space="preserve">UTHealth has 4 Institutional Review Board (IRB) panels and each panel meets once a month. UTHealth’s HRPP earned full AAHRPP accreditation in 2009. </w:t>
      </w:r>
    </w:p>
    <w:p w:rsidR="007D25C0" w:rsidRPr="00D73F18" w:rsidRDefault="007D25C0" w:rsidP="007D25C0">
      <w:pPr>
        <w:tabs>
          <w:tab w:val="left" w:pos="360"/>
        </w:tabs>
      </w:pPr>
    </w:p>
    <w:p w:rsidR="003E3579" w:rsidRDefault="007D25C0" w:rsidP="007D25C0">
      <w:pPr>
        <w:tabs>
          <w:tab w:val="left" w:pos="1440"/>
        </w:tabs>
        <w:ind w:left="720"/>
      </w:pPr>
      <w:r w:rsidRPr="00D73F18">
        <w:t>At present, there are approximately 500 Principal Investigators involved in human subjects research at UTHealth. The institution has over 1200 active protocols (excluding exempt research). UTHealth IRB received over 700 applications last year of which 225 were reviewed at a full board meeting and over 100 of these were industry sponsored clinical trials. As part of a comprehensive quality improvement plan, UTHealth HRPP is looking for solutions to improving clinical trial start up time, specifically faster IRB review and approval time.</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7D25C0" w:rsidRDefault="007D25C0" w:rsidP="007D25C0">
      <w:pPr>
        <w:ind w:left="720"/>
        <w:rPr>
          <w:color w:val="000000"/>
        </w:rPr>
      </w:pPr>
      <w:r>
        <w:rPr>
          <w:color w:val="000000"/>
        </w:rPr>
        <w:t>The University of Texas Health Science Center at Houston (“</w:t>
      </w:r>
      <w:r>
        <w:rPr>
          <w:b/>
          <w:bCs/>
          <w:color w:val="000000"/>
        </w:rPr>
        <w:t>University</w:t>
      </w:r>
      <w:r>
        <w:rPr>
          <w:color w:val="000000"/>
        </w:rPr>
        <w:t>”) is soliciting proposals in response to this Request for Proposal, RFP 744-R150 COMMERCIAL INSTITUTIONAL REVIEW BOARD SERVICES (this “</w:t>
      </w:r>
      <w:r>
        <w:rPr>
          <w:b/>
          <w:bCs/>
          <w:color w:val="000000"/>
        </w:rPr>
        <w:t>RFP</w:t>
      </w:r>
      <w:r>
        <w:rPr>
          <w:color w:val="000000"/>
        </w:rPr>
        <w:t xml:space="preserve">”), for the selection of multiple service providers to perform Commercial Institutional Review Board Services related to multi-center clinical trials from qualified vendors to provide </w:t>
      </w:r>
      <w:r>
        <w:t>solutions to improving clinical trial start up time</w:t>
      </w:r>
      <w:r>
        <w:rPr>
          <w:color w:val="000000"/>
        </w:rPr>
        <w:t xml:space="preserve"> services (the “</w:t>
      </w:r>
      <w:r>
        <w:rPr>
          <w:b/>
          <w:bCs/>
          <w:color w:val="000000"/>
        </w:rPr>
        <w:t>Services</w:t>
      </w:r>
      <w:r>
        <w:rPr>
          <w:color w:val="000000"/>
        </w:rPr>
        <w:t xml:space="preserve">”) related to </w:t>
      </w:r>
      <w:r>
        <w:t>UTHealth</w:t>
      </w:r>
      <w:r w:rsidRPr="00FD2B4F">
        <w:t xml:space="preserve">’s Human </w:t>
      </w:r>
      <w:r>
        <w:t xml:space="preserve">Research </w:t>
      </w:r>
      <w:r w:rsidRPr="00FD2B4F">
        <w:t xml:space="preserve">Protection Program </w:t>
      </w:r>
      <w:r>
        <w:t>(HRPP)</w:t>
      </w:r>
      <w:r>
        <w:rPr>
          <w:color w:val="000000"/>
        </w:rPr>
        <w:t xml:space="preserve">. The Services, which are more specifically described in </w:t>
      </w:r>
      <w:r>
        <w:rPr>
          <w:b/>
          <w:color w:val="000000"/>
        </w:rPr>
        <w:t xml:space="preserve">Section 5.4 </w:t>
      </w:r>
      <w:r>
        <w:rPr>
          <w:bCs/>
          <w:color w:val="000000"/>
        </w:rPr>
        <w:t>(Scope of Work)</w:t>
      </w:r>
      <w:r>
        <w:rPr>
          <w:color w:val="000000"/>
        </w:rPr>
        <w:t xml:space="preserve"> of this RFP, include (1) </w:t>
      </w:r>
      <w:r w:rsidRPr="00E87547">
        <w:t>review of research</w:t>
      </w:r>
      <w:r>
        <w:rPr>
          <w:color w:val="000000"/>
        </w:rPr>
        <w:t xml:space="preserve">; (2) review of unanticipated problems; and (3) review of incidents regarding non-compliance. </w:t>
      </w:r>
    </w:p>
    <w:p w:rsidR="00614E58" w:rsidRDefault="00614E58">
      <w:pPr>
        <w:ind w:left="720"/>
        <w:rPr>
          <w:color w:val="000000"/>
        </w:rPr>
      </w:pPr>
    </w:p>
    <w:p w:rsidR="007D25C0" w:rsidRPr="007D25C0" w:rsidRDefault="007D25C0">
      <w:pPr>
        <w:ind w:left="720"/>
      </w:pPr>
      <w:r w:rsidRPr="00D73F18">
        <w:t>The University of Texas Health Science Center at Houston is interested in proposals from vendors who not only provide quality commercial IRB services, but who also serve as the IRB of record for pharmaceutical and other life science companies conducting clinical trials.</w:t>
      </w:r>
    </w:p>
    <w:p w:rsidR="007D25C0" w:rsidRDefault="007D25C0">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614E58" w:rsidRDefault="004646C7" w:rsidP="00144828">
      <w:pPr>
        <w:ind w:left="720"/>
        <w:rPr>
          <w:color w:val="000000"/>
        </w:rPr>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3"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3E3579" w:rsidRDefault="003E3579">
      <w:pPr>
        <w:ind w:left="720"/>
        <w:jc w:val="center"/>
        <w:rPr>
          <w:color w:val="000000"/>
        </w:rPr>
        <w:sectPr w:rsidR="003E3579">
          <w:headerReference w:type="default" r:id="rId14"/>
          <w:footerReference w:type="default" r:id="rId15"/>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144828">
        <w:rPr>
          <w:rFonts w:ascii="Arial" w:hAnsi="Arial" w:cs="Arial"/>
        </w:rPr>
        <w:t>11:00</w:t>
      </w:r>
      <w:r>
        <w:rPr>
          <w:rFonts w:ascii="Arial" w:hAnsi="Arial" w:cs="Arial"/>
        </w:rPr>
        <w:t> </w:t>
      </w:r>
      <w:r w:rsidRPr="00144828">
        <w:rPr>
          <w:rFonts w:ascii="Arial" w:hAnsi="Arial" w:cs="Arial"/>
          <w:bCs/>
        </w:rPr>
        <w:t>a.m.</w:t>
      </w:r>
      <w:r>
        <w:rPr>
          <w:rFonts w:ascii="Arial" w:hAnsi="Arial" w:cs="Arial"/>
        </w:rPr>
        <w:t xml:space="preserve">, Central </w:t>
      </w:r>
      <w:r w:rsidR="00144828">
        <w:rPr>
          <w:rFonts w:ascii="Arial" w:hAnsi="Arial" w:cs="Arial"/>
        </w:rPr>
        <w:t>Standard</w:t>
      </w:r>
      <w:r>
        <w:rPr>
          <w:rFonts w:ascii="Arial" w:hAnsi="Arial" w:cs="Arial"/>
        </w:rPr>
        <w:t xml:space="preserve"> Time on </w:t>
      </w:r>
      <w:r w:rsidR="00144828">
        <w:rPr>
          <w:rFonts w:ascii="Arial" w:hAnsi="Arial" w:cs="Arial"/>
        </w:rPr>
        <w:t>Monday</w:t>
      </w:r>
      <w:r>
        <w:rPr>
          <w:rFonts w:ascii="Arial" w:hAnsi="Arial" w:cs="Arial"/>
        </w:rPr>
        <w:t xml:space="preserve">, </w:t>
      </w:r>
      <w:r w:rsidR="00144828">
        <w:rPr>
          <w:rFonts w:ascii="Arial" w:hAnsi="Arial" w:cs="Arial"/>
        </w:rPr>
        <w:t>December 8</w:t>
      </w:r>
      <w:r>
        <w:rPr>
          <w:rFonts w:ascii="Arial" w:hAnsi="Arial" w:cs="Arial"/>
        </w:rPr>
        <w:t xml:space="preserve">, </w:t>
      </w:r>
      <w:r w:rsidR="00021440">
        <w:rPr>
          <w:rFonts w:ascii="Arial" w:hAnsi="Arial" w:cs="Arial"/>
        </w:rPr>
        <w:t>20</w:t>
      </w:r>
      <w:r w:rsidR="00144828">
        <w:rPr>
          <w:rFonts w:ascii="Arial" w:hAnsi="Arial" w:cs="Arial"/>
        </w:rPr>
        <w:t xml:space="preserve">14 </w:t>
      </w:r>
      <w:r>
        <w:rPr>
          <w:rFonts w:ascii="Arial" w:hAnsi="Arial" w:cs="Arial"/>
        </w:rPr>
        <w:t>(the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1851 Crosspoint, OCB1.160</w:t>
      </w:r>
    </w:p>
    <w:p w:rsidR="00B82C1D" w:rsidRDefault="00B82C1D" w:rsidP="00B82C1D">
      <w:pPr>
        <w:ind w:left="2160"/>
        <w:rPr>
          <w:rFonts w:ascii="Arial" w:hAnsi="Arial" w:cs="Arial"/>
        </w:rPr>
      </w:pPr>
      <w:r>
        <w:rPr>
          <w:rFonts w:ascii="Arial" w:hAnsi="Arial" w:cs="Arial"/>
        </w:rPr>
        <w:t>Houston, Texas 77054</w:t>
      </w:r>
    </w:p>
    <w:p w:rsidR="00B82C1D" w:rsidRPr="00B45FFE" w:rsidRDefault="00144828" w:rsidP="00B82C1D">
      <w:pPr>
        <w:ind w:left="2160"/>
        <w:rPr>
          <w:rFonts w:ascii="Arial" w:hAnsi="Arial" w:cs="Arial"/>
        </w:rPr>
      </w:pPr>
      <w:r>
        <w:rPr>
          <w:rFonts w:ascii="Arial" w:hAnsi="Arial" w:cs="Arial"/>
        </w:rPr>
        <w:t>Angela Rodriguez, Senior Buyer</w:t>
      </w:r>
    </w:p>
    <w:p w:rsidR="003E3579" w:rsidRDefault="00B82C1D" w:rsidP="00B82C1D">
      <w:pPr>
        <w:rPr>
          <w:rStyle w:val="Hyperlink"/>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sidR="00144828">
        <w:rPr>
          <w:rFonts w:ascii="Arial" w:hAnsi="Arial" w:cs="Arial"/>
        </w:rPr>
        <w:t>Angela.Y.Rodriguez@uth.tmc.edu</w:t>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144828">
        <w:rPr>
          <w:rFonts w:ascii="Arial" w:hAnsi="Arial" w:cs="Arial"/>
        </w:rPr>
        <w:t xml:space="preserve"> Monday, November 24</w:t>
      </w:r>
      <w:r>
        <w:rPr>
          <w:rFonts w:ascii="Arial" w:hAnsi="Arial" w:cs="Arial"/>
        </w:rPr>
        <w:t xml:space="preserve">, </w:t>
      </w:r>
      <w:r w:rsidR="00021440">
        <w:rPr>
          <w:rFonts w:ascii="Arial" w:hAnsi="Arial" w:cs="Arial"/>
        </w:rPr>
        <w:t>20</w:t>
      </w:r>
      <w:r w:rsidR="00144828">
        <w:rPr>
          <w:rFonts w:ascii="Arial" w:hAnsi="Arial" w:cs="Arial"/>
        </w:rPr>
        <w:t>14 at 11:00 a.m. CST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719DD"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xml:space="preserve">, </w:t>
      </w:r>
      <w:r w:rsidR="00110109">
        <w:rPr>
          <w:rFonts w:ascii="Arial" w:hAnsi="Arial" w:cs="Arial"/>
        </w:rPr>
        <w:t>will be those factors listed below:</w:t>
      </w:r>
    </w:p>
    <w:p w:rsidR="00D0740C" w:rsidRDefault="002719DD" w:rsidP="002719DD">
      <w:pPr>
        <w:ind w:left="720"/>
        <w:rPr>
          <w:rFonts w:ascii="Arial" w:eastAsia="Arial Unicode MS" w:hAnsi="Arial" w:cs="Arial"/>
          <w:bCs/>
          <w:color w:val="000000"/>
          <w:szCs w:val="22"/>
        </w:rPr>
      </w:pPr>
      <w:r>
        <w:rPr>
          <w:rFonts w:ascii="Arial" w:hAnsi="Arial" w:cs="Arial"/>
        </w:rPr>
        <w:br w:type="page"/>
      </w:r>
      <w:r>
        <w:rPr>
          <w:rFonts w:ascii="Arial" w:hAnsi="Arial" w:cs="Arial"/>
        </w:rPr>
        <w:lastRenderedPageBreak/>
        <w:t>2.3.1</w:t>
      </w:r>
      <w:r>
        <w:rPr>
          <w:rFonts w:ascii="Arial" w:hAnsi="Arial" w:cs="Arial"/>
        </w:rPr>
        <w:tab/>
      </w:r>
      <w:r w:rsidR="00D0740C" w:rsidRPr="004362F7">
        <w:rPr>
          <w:rFonts w:ascii="Arial" w:hAnsi="Arial" w:cs="Arial"/>
          <w:bCs/>
        </w:rPr>
        <w:t>T</w:t>
      </w:r>
      <w:r w:rsidR="00D0740C" w:rsidRPr="004362F7">
        <w:rPr>
          <w:rFonts w:ascii="Arial" w:eastAsia="Arial Unicode MS" w:hAnsi="Arial" w:cs="Arial"/>
          <w:bCs/>
          <w:color w:val="000000"/>
          <w:szCs w:val="22"/>
        </w:rPr>
        <w:t>hreshold Criteria Not Scored</w:t>
      </w:r>
    </w:p>
    <w:p w:rsidR="002719DD" w:rsidRDefault="002719DD" w:rsidP="002719DD">
      <w:pPr>
        <w:ind w:left="720"/>
      </w:pPr>
    </w:p>
    <w:p w:rsidR="00D0740C" w:rsidRDefault="00D0740C" w:rsidP="00BA30CB">
      <w:pPr>
        <w:numPr>
          <w:ilvl w:val="3"/>
          <w:numId w:val="4"/>
        </w:numPr>
        <w:tabs>
          <w:tab w:val="left" w:pos="2160"/>
          <w:tab w:val="decimal" w:pos="2880"/>
        </w:tabs>
        <w:ind w:left="2160"/>
      </w:pPr>
      <w:r>
        <w:t xml:space="preserve">Ability of </w:t>
      </w:r>
      <w:r w:rsidR="001252FA">
        <w:t>Contractor</w:t>
      </w:r>
      <w:r>
        <w:t xml:space="preserve">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w:t>
      </w:r>
      <w:r w:rsidR="001252FA">
        <w:t>Contractor</w:t>
      </w:r>
      <w:r>
        <w:t xml:space="preserve">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110109"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110109" w:rsidRPr="00110109" w:rsidRDefault="00110109" w:rsidP="00110109">
      <w:pPr>
        <w:spacing w:before="30" w:after="30"/>
        <w:ind w:left="1530" w:right="30"/>
        <w:jc w:val="left"/>
        <w:rPr>
          <w:rFonts w:ascii="Arial" w:eastAsia="Arial Unicode MS" w:hAnsi="Arial" w:cs="Arial"/>
          <w:bCs/>
          <w:color w:val="000000"/>
          <w:szCs w:val="22"/>
        </w:rPr>
      </w:pPr>
    </w:p>
    <w:p w:rsidR="00110109" w:rsidRDefault="00110109" w:rsidP="00110109">
      <w:pPr>
        <w:spacing w:before="30" w:after="30"/>
        <w:ind w:left="1440" w:right="30"/>
        <w:jc w:val="left"/>
        <w:rPr>
          <w:rFonts w:ascii="Arial" w:hAnsi="Arial" w:cs="Arial"/>
          <w:bCs/>
          <w:color w:val="000000"/>
          <w:szCs w:val="22"/>
        </w:rPr>
      </w:pPr>
      <w:r>
        <w:rPr>
          <w:rFonts w:ascii="Arial" w:hAnsi="Arial" w:cs="Arial"/>
          <w:bCs/>
          <w:color w:val="000000"/>
          <w:szCs w:val="22"/>
        </w:rPr>
        <w:t xml:space="preserve">70 % Qualifications – Evaluations in this category will be based on the Respondent’s response to questions </w:t>
      </w:r>
      <w:r w:rsidRPr="00B6612D">
        <w:rPr>
          <w:rFonts w:ascii="Arial" w:hAnsi="Arial" w:cs="Arial"/>
          <w:bCs/>
          <w:color w:val="000000"/>
          <w:szCs w:val="22"/>
        </w:rPr>
        <w:t>5.</w:t>
      </w:r>
      <w:r w:rsidR="00C57B9F" w:rsidRPr="00B6612D">
        <w:rPr>
          <w:rFonts w:ascii="Arial" w:hAnsi="Arial" w:cs="Arial"/>
          <w:bCs/>
          <w:color w:val="000000"/>
          <w:szCs w:val="22"/>
        </w:rPr>
        <w:t>4.5</w:t>
      </w:r>
      <w:r w:rsidRPr="00B6612D">
        <w:rPr>
          <w:rFonts w:ascii="Arial" w:hAnsi="Arial" w:cs="Arial"/>
          <w:bCs/>
          <w:color w:val="000000"/>
          <w:szCs w:val="22"/>
        </w:rPr>
        <w:t xml:space="preserve"> – 5.</w:t>
      </w:r>
      <w:r w:rsidR="00B6612D" w:rsidRPr="00B6612D">
        <w:rPr>
          <w:rFonts w:ascii="Arial" w:hAnsi="Arial" w:cs="Arial"/>
          <w:bCs/>
          <w:color w:val="000000"/>
          <w:szCs w:val="22"/>
        </w:rPr>
        <w:t>4</w:t>
      </w:r>
      <w:r w:rsidRPr="00B6612D">
        <w:rPr>
          <w:rFonts w:ascii="Arial" w:hAnsi="Arial" w:cs="Arial"/>
          <w:bCs/>
          <w:color w:val="000000"/>
          <w:szCs w:val="22"/>
        </w:rPr>
        <w:t>.</w:t>
      </w:r>
      <w:r w:rsidR="00B6612D" w:rsidRPr="00B6612D">
        <w:rPr>
          <w:rFonts w:ascii="Arial" w:hAnsi="Arial" w:cs="Arial"/>
          <w:bCs/>
          <w:color w:val="000000"/>
          <w:szCs w:val="22"/>
        </w:rPr>
        <w:t>20</w:t>
      </w:r>
      <w:r w:rsidRPr="00B6612D">
        <w:rPr>
          <w:rFonts w:ascii="Arial" w:hAnsi="Arial" w:cs="Arial"/>
          <w:bCs/>
          <w:color w:val="000000"/>
          <w:szCs w:val="22"/>
        </w:rPr>
        <w:t xml:space="preserve"> in Section 5.4 of this RFP.</w:t>
      </w:r>
      <w:r>
        <w:rPr>
          <w:rFonts w:ascii="Arial" w:hAnsi="Arial" w:cs="Arial"/>
          <w:bCs/>
          <w:color w:val="000000"/>
          <w:szCs w:val="22"/>
        </w:rPr>
        <w:t xml:space="preserve">  </w:t>
      </w:r>
    </w:p>
    <w:p w:rsidR="00110109" w:rsidRDefault="00110109" w:rsidP="00110109">
      <w:pPr>
        <w:spacing w:before="30" w:after="30"/>
        <w:ind w:left="1440" w:right="30"/>
        <w:jc w:val="left"/>
        <w:rPr>
          <w:rFonts w:ascii="Arial" w:hAnsi="Arial" w:cs="Arial"/>
          <w:bCs/>
          <w:color w:val="000000"/>
          <w:szCs w:val="22"/>
        </w:rPr>
      </w:pPr>
    </w:p>
    <w:p w:rsidR="00110109" w:rsidRPr="00110109" w:rsidRDefault="00110109" w:rsidP="00110109">
      <w:pPr>
        <w:spacing w:before="30" w:after="30"/>
        <w:ind w:left="1440" w:right="30"/>
        <w:jc w:val="left"/>
        <w:rPr>
          <w:rFonts w:ascii="Arial" w:hAnsi="Arial" w:cs="Arial"/>
          <w:bCs/>
          <w:color w:val="000000"/>
          <w:szCs w:val="22"/>
        </w:rPr>
      </w:pPr>
      <w:r>
        <w:rPr>
          <w:rFonts w:ascii="Arial" w:hAnsi="Arial" w:cs="Arial"/>
          <w:bCs/>
          <w:color w:val="000000"/>
          <w:szCs w:val="22"/>
        </w:rPr>
        <w:t xml:space="preserve">30% Cost – Evaluation in this category will be based on the Respondent’s pricing as stated in </w:t>
      </w:r>
      <w:r>
        <w:rPr>
          <w:rFonts w:ascii="Arial" w:hAnsi="Arial" w:cs="Arial"/>
          <w:b/>
          <w:bCs/>
          <w:color w:val="000000"/>
          <w:szCs w:val="22"/>
        </w:rPr>
        <w:t>Section 6.1</w:t>
      </w:r>
      <w:r>
        <w:rPr>
          <w:rFonts w:ascii="Arial" w:hAnsi="Arial" w:cs="Arial"/>
          <w:bCs/>
          <w:color w:val="000000"/>
          <w:szCs w:val="22"/>
        </w:rPr>
        <w:t xml:space="preserve"> of this RFP.  Respondents providing the best cos</w:t>
      </w:r>
      <w:r w:rsidR="005E51BF">
        <w:rPr>
          <w:rFonts w:ascii="Arial" w:hAnsi="Arial" w:cs="Arial"/>
          <w:bCs/>
          <w:color w:val="000000"/>
          <w:szCs w:val="22"/>
        </w:rPr>
        <w:t>t will be given the highest available score in this category.  Next ranked respondents will be proportionately ranked accordingly.</w:t>
      </w:r>
      <w:r>
        <w:rPr>
          <w:rFonts w:ascii="Arial" w:hAnsi="Arial" w:cs="Arial"/>
          <w:bCs/>
          <w:color w:val="000000"/>
          <w:szCs w:val="22"/>
        </w:rPr>
        <w:t xml:space="preserve"> </w:t>
      </w:r>
    </w:p>
    <w:p w:rsidR="005E51BF" w:rsidRPr="00553FC4" w:rsidRDefault="005E51BF" w:rsidP="00110109">
      <w:pPr>
        <w:spacing w:before="30" w:after="30"/>
        <w:ind w:right="30"/>
        <w:jc w:val="left"/>
        <w:rPr>
          <w:rFonts w:ascii="Arial" w:eastAsia="Arial Unicode MS"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sidR="005E51BF">
        <w:rPr>
          <w:rFonts w:ascii="Arial" w:hAnsi="Arial" w:cs="Arial"/>
        </w:rPr>
        <w:t>Friday, November 7, 2014</w:t>
      </w:r>
      <w:r>
        <w:rPr>
          <w:rFonts w:ascii="Arial" w:hAnsi="Arial" w:cs="Arial"/>
        </w:rPr>
        <w:t xml:space="preserve"> </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sidR="00D73F18">
        <w:rPr>
          <w:rFonts w:ascii="Arial" w:hAnsi="Arial" w:cs="Arial"/>
        </w:rPr>
        <w:t>Monday, November 24, 2014 at 11:00 a.m. CST</w:t>
      </w:r>
    </w:p>
    <w:p w:rsidR="003E3579" w:rsidRDefault="003E3579" w:rsidP="00D73F18">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D73F18" w:rsidRDefault="00D73F18" w:rsidP="00D73F18">
      <w:pPr>
        <w:ind w:firstLine="720"/>
        <w:rPr>
          <w:rFonts w:ascii="Arial" w:hAnsi="Arial" w:cs="Arial"/>
        </w:rPr>
      </w:pPr>
    </w:p>
    <w:p w:rsidR="00D73F18"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r>
      <w:r w:rsidR="00D73F18">
        <w:rPr>
          <w:rFonts w:ascii="Arial" w:hAnsi="Arial" w:cs="Arial"/>
        </w:rPr>
        <w:t>Monday, December 8, 2014 at 11:00 a.m. CST</w:t>
      </w:r>
    </w:p>
    <w:p w:rsidR="003E3579" w:rsidRDefault="003E3579" w:rsidP="00D73F18">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p>
    <w:p w:rsidR="00534BC1" w:rsidRDefault="00534BC1" w:rsidP="00534BC1">
      <w:pPr>
        <w:ind w:left="720"/>
        <w:rPr>
          <w:rFonts w:ascii="Arial" w:hAnsi="Arial" w:cs="Arial"/>
        </w:rPr>
      </w:pP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Default="00495164" w:rsidP="00495164">
      <w:pPr>
        <w:ind w:left="720"/>
        <w:rPr>
          <w:rFonts w:ascii="Arial" w:hAnsi="Arial" w:cs="Arial"/>
        </w:rPr>
      </w:pPr>
    </w:p>
    <w:p w:rsidR="002719DD" w:rsidRDefault="00495164" w:rsidP="002719DD">
      <w:pPr>
        <w:ind w:left="1440" w:hanging="720"/>
      </w:pPr>
      <w:r w:rsidRPr="00E53D57">
        <w:rPr>
          <w:rFonts w:ascii="Arial" w:hAnsi="Arial" w:cs="Arial"/>
          <w:bCs/>
        </w:rPr>
        <w:t>2.5.2</w:t>
      </w:r>
      <w:r w:rsidRPr="00E53D57">
        <w:rPr>
          <w:rFonts w:ascii="Arial" w:hAnsi="Arial" w:cs="Arial"/>
          <w:b/>
          <w:bCs/>
        </w:rPr>
        <w:tab/>
      </w:r>
      <w:r w:rsidR="00BA5697" w:rsidRPr="00E53D57">
        <w:t>University</w:t>
      </w:r>
      <w:r w:rsidRPr="00E53D57">
        <w:t xml:space="preserve"> has reviewed this RFP in accordance with </w:t>
      </w:r>
      <w:r w:rsidR="00CF2BE9" w:rsidRPr="00E53D57">
        <w:t>Title 34</w:t>
      </w:r>
      <w:r w:rsidRPr="00E53D57">
        <w:t xml:space="preserve">, </w:t>
      </w:r>
      <w:r w:rsidRPr="00E53D57">
        <w:rPr>
          <w:i/>
        </w:rPr>
        <w:t>Texas Administrative Code</w:t>
      </w:r>
      <w:r w:rsidRPr="00E53D57">
        <w:t xml:space="preserve">, Section </w:t>
      </w:r>
      <w:r w:rsidR="00CF2BE9" w:rsidRPr="00E53D57">
        <w:t>20</w:t>
      </w:r>
      <w:r w:rsidRPr="00E53D57">
        <w:t>.14, and has determined that subcontracting opportunities are not probable under this RFP.</w:t>
      </w:r>
      <w:r w:rsidR="00B2176F" w:rsidRPr="00E53D57">
        <w:t xml:space="preserve"> </w:t>
      </w:r>
    </w:p>
    <w:p w:rsidR="003E3579" w:rsidRDefault="002719DD" w:rsidP="002719DD">
      <w:pPr>
        <w:jc w:val="center"/>
        <w:rPr>
          <w:rFonts w:ascii="Arial" w:hAnsi="Arial" w:cs="Arial"/>
          <w:b/>
          <w:bCs/>
        </w:rPr>
      </w:pPr>
      <w:r>
        <w:br w:type="page"/>
      </w:r>
      <w:r w:rsidR="003E3579">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DC4CFB" w:rsidRPr="00DC4CFB">
        <w:rPr>
          <w:rFonts w:ascii="Arial" w:hAnsi="Arial" w:cs="Arial"/>
        </w:rPr>
        <w:t>six</w:t>
      </w:r>
      <w:r w:rsidRPr="00DC4CFB">
        <w:rPr>
          <w:rFonts w:ascii="Arial" w:hAnsi="Arial" w:cs="Arial"/>
        </w:rPr>
        <w:t xml:space="preserve"> (</w:t>
      </w:r>
      <w:r w:rsidR="00DC4CFB" w:rsidRPr="00DC4CFB">
        <w:rPr>
          <w:rFonts w:ascii="Arial" w:hAnsi="Arial" w:cs="Arial"/>
        </w:rPr>
        <w:t>6</w:t>
      </w:r>
      <w:r w:rsidRPr="00DC4CFB">
        <w:rPr>
          <w:rFonts w:ascii="Arial" w:hAnsi="Arial" w:cs="Arial"/>
        </w:rPr>
        <w:t>)</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1851 Crosspoint,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 xml:space="preserve">Attn:  </w:t>
      </w:r>
      <w:r w:rsidR="00B33FDD">
        <w:rPr>
          <w:rFonts w:ascii="Arial" w:hAnsi="Arial" w:cs="Arial"/>
        </w:rPr>
        <w:t>Angela Rodriguez, Senior Buyer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w:t>
      </w:r>
      <w:r w:rsidRPr="00B33FDD">
        <w:rPr>
          <w:rFonts w:ascii="Arial" w:hAnsi="Arial" w:cs="Arial"/>
        </w:rPr>
        <w:t>must</w:t>
      </w:r>
      <w:r>
        <w:rPr>
          <w:rFonts w:ascii="Arial" w:hAnsi="Arial" w:cs="Arial"/>
        </w:rPr>
        <w:t xml:space="preserve">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C5641E" w:rsidRPr="008C2EFD">
        <w:rPr>
          <w:b/>
        </w:rPr>
        <w:t>3.1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B33FDD">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B33FDD">
        <w:rPr>
          <w:rFonts w:ascii="Arial" w:hAnsi="Arial" w:cs="Arial"/>
        </w:rPr>
        <w:t>Each Proposal must include information that clearly indicates that Proposer meets each of the following minimum qualification requirements</w:t>
      </w:r>
      <w:r w:rsidR="000C6F24" w:rsidRPr="00B33FDD">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B33FDD" w:rsidRDefault="00B33FDD" w:rsidP="00B33FDD">
      <w:pPr>
        <w:numPr>
          <w:ilvl w:val="2"/>
          <w:numId w:val="11"/>
        </w:numPr>
      </w:pPr>
      <w:r>
        <w:rPr>
          <w:rFonts w:ascii="Arial" w:hAnsi="Arial" w:cs="Arial"/>
          <w:color w:val="000000"/>
        </w:rPr>
        <w:t>Must be accredited by Association for Accreditation of Human Research Protection Programs.</w:t>
      </w:r>
    </w:p>
    <w:p w:rsidR="003E3579" w:rsidRDefault="003E3579">
      <w:pPr>
        <w:rPr>
          <w:rFonts w:ascii="Arial" w:hAnsi="Arial" w:cs="Arial"/>
        </w:rPr>
      </w:pPr>
    </w:p>
    <w:p w:rsidR="008C2EFD" w:rsidRDefault="008C2EFD" w:rsidP="008C2EFD">
      <w:pPr>
        <w:rPr>
          <w:rFonts w:ascii="Arial" w:hAnsi="Arial" w:cs="Arial"/>
          <w:b/>
          <w:bCs/>
        </w:rPr>
      </w:pPr>
      <w:r>
        <w:rPr>
          <w:rFonts w:ascii="Arial" w:hAnsi="Arial" w:cs="Arial"/>
          <w:b/>
          <w:bCs/>
        </w:rPr>
        <w:t>5.3</w:t>
      </w:r>
      <w:r>
        <w:rPr>
          <w:rFonts w:ascii="Arial" w:hAnsi="Arial" w:cs="Arial"/>
          <w:b/>
          <w:bCs/>
        </w:rPr>
        <w:tab/>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8C2EFD" w:rsidRDefault="008C2EFD" w:rsidP="00B33FDD">
      <w:pPr>
        <w:ind w:left="1440" w:hanging="720"/>
        <w:rPr>
          <w:rFonts w:ascii="Arial" w:hAnsi="Arial" w:cs="Arial"/>
          <w:u w:val="single"/>
        </w:rPr>
      </w:pPr>
      <w:r>
        <w:rPr>
          <w:rFonts w:ascii="Arial" w:hAnsi="Arial" w:cs="Arial"/>
        </w:rPr>
        <w:t>5.3.1</w:t>
      </w:r>
      <w:r>
        <w:rPr>
          <w:rFonts w:ascii="Arial" w:hAnsi="Arial" w:cs="Arial"/>
        </w:rPr>
        <w:tab/>
      </w:r>
      <w:r w:rsidR="00B33FDD">
        <w:rPr>
          <w:color w:val="000000"/>
        </w:rPr>
        <w:t>Conduct review of research according to applicable regulations and laws including initial review, continuing review, and review of modification to previously approved research.</w:t>
      </w:r>
    </w:p>
    <w:p w:rsidR="008C2EFD" w:rsidRDefault="008C2EFD" w:rsidP="008C2EFD">
      <w:pPr>
        <w:ind w:left="720"/>
        <w:rPr>
          <w:rFonts w:ascii="Arial" w:hAnsi="Arial" w:cs="Arial"/>
          <w:u w:val="single"/>
        </w:rPr>
      </w:pPr>
    </w:p>
    <w:p w:rsidR="008C2EFD" w:rsidRDefault="008C2EFD" w:rsidP="008C2EFD">
      <w:pPr>
        <w:ind w:left="720"/>
        <w:rPr>
          <w:rFonts w:ascii="Arial" w:hAnsi="Arial" w:cs="Arial"/>
          <w:bCs/>
          <w:color w:val="000000"/>
        </w:rPr>
      </w:pPr>
      <w:r>
        <w:rPr>
          <w:rFonts w:ascii="Arial" w:hAnsi="Arial" w:cs="Arial"/>
        </w:rPr>
        <w:t>5.3.2</w:t>
      </w:r>
      <w:r w:rsidR="00B33FDD">
        <w:rPr>
          <w:rFonts w:ascii="Arial" w:hAnsi="Arial" w:cs="Arial"/>
        </w:rPr>
        <w:tab/>
      </w:r>
      <w:r w:rsidR="00B33FDD">
        <w:rPr>
          <w:color w:val="000000"/>
        </w:rPr>
        <w:t>Review unanticipated problems involving risks to participants or others.</w:t>
      </w:r>
    </w:p>
    <w:p w:rsidR="008C2EFD" w:rsidRDefault="008C2EFD" w:rsidP="008C2EFD">
      <w:pPr>
        <w:ind w:left="720"/>
        <w:rPr>
          <w:rFonts w:ascii="Arial" w:hAnsi="Arial" w:cs="Arial"/>
          <w:bCs/>
          <w:color w:val="000000"/>
        </w:rPr>
      </w:pPr>
    </w:p>
    <w:p w:rsidR="008C2EFD" w:rsidRDefault="008C2EFD" w:rsidP="008C2EFD">
      <w:pPr>
        <w:ind w:firstLine="720"/>
        <w:rPr>
          <w:color w:val="000000"/>
        </w:rPr>
      </w:pPr>
      <w:r>
        <w:rPr>
          <w:rFonts w:ascii="Arial" w:hAnsi="Arial" w:cs="Arial"/>
        </w:rPr>
        <w:t>5.3.3</w:t>
      </w:r>
      <w:r w:rsidR="00B33FDD">
        <w:rPr>
          <w:rFonts w:ascii="Arial" w:hAnsi="Arial" w:cs="Arial"/>
        </w:rPr>
        <w:tab/>
      </w:r>
      <w:r w:rsidR="00B33FDD">
        <w:rPr>
          <w:color w:val="000000"/>
        </w:rPr>
        <w:t>Review incidents of serious or continuing non-compliance.</w:t>
      </w:r>
    </w:p>
    <w:p w:rsidR="00B33FDD" w:rsidRDefault="00B33FDD" w:rsidP="008C2EFD">
      <w:pPr>
        <w:ind w:firstLine="720"/>
        <w:rPr>
          <w:color w:val="000000"/>
        </w:rPr>
      </w:pPr>
    </w:p>
    <w:p w:rsidR="00B33FDD" w:rsidRDefault="00B33FDD" w:rsidP="008C2EFD">
      <w:pPr>
        <w:ind w:firstLine="720"/>
        <w:rPr>
          <w:color w:val="000000"/>
        </w:rPr>
      </w:pPr>
      <w:r>
        <w:rPr>
          <w:color w:val="000000"/>
        </w:rPr>
        <w:t>5.3.4</w:t>
      </w:r>
      <w:r>
        <w:rPr>
          <w:color w:val="000000"/>
        </w:rPr>
        <w:tab/>
        <w:t>Suspend or terminate IRB approval.</w:t>
      </w:r>
    </w:p>
    <w:p w:rsidR="00B33FDD" w:rsidRDefault="00B33FDD" w:rsidP="008C2EFD">
      <w:pPr>
        <w:ind w:firstLine="720"/>
        <w:rPr>
          <w:color w:val="000000"/>
        </w:rPr>
      </w:pPr>
    </w:p>
    <w:p w:rsidR="00B33FDD" w:rsidRDefault="00B33FDD" w:rsidP="00B33FDD">
      <w:pPr>
        <w:ind w:left="1440"/>
      </w:pPr>
      <w:r>
        <w:rPr>
          <w:b/>
          <w:bCs/>
          <w:i/>
          <w:iCs/>
          <w:color w:val="000000"/>
        </w:rPr>
        <w:t>Communication with Researchers -</w:t>
      </w:r>
      <w:r>
        <w:rPr>
          <w:color w:val="000000"/>
        </w:rPr>
        <w:t xml:space="preserve"> The commercial IRB should have a mechanism to communicate its policies and procedures including appropriate forms, templates and reporting guidelines to researchers and designated responsible party at UTHealth.  The commercial IRB should have a mechanism to notify the researchers in writing of its decisions. </w:t>
      </w:r>
    </w:p>
    <w:p w:rsidR="00B33FDD" w:rsidRDefault="00B33FDD" w:rsidP="00B33FDD">
      <w:pPr>
        <w:ind w:left="1440"/>
      </w:pPr>
      <w:r>
        <w:rPr>
          <w:color w:val="000000"/>
        </w:rPr>
        <w:t> </w:t>
      </w:r>
    </w:p>
    <w:p w:rsidR="00B33FDD" w:rsidRDefault="00B33FDD" w:rsidP="00B33FDD">
      <w:pPr>
        <w:ind w:left="1440"/>
      </w:pPr>
      <w:r>
        <w:rPr>
          <w:b/>
          <w:bCs/>
          <w:i/>
          <w:iCs/>
          <w:color w:val="000000"/>
        </w:rPr>
        <w:t xml:space="preserve">Communication with UTHealth liaison – </w:t>
      </w:r>
      <w:r>
        <w:rPr>
          <w:color w:val="000000"/>
        </w:rPr>
        <w:t xml:space="preserve">The commercial IRB should have a mechanism to ensure that the UTHealth liaison has given written permission for a particular protocol to be reviewed and approved by the commercial IRB.  The commercial IRB should share relevant minutes with UTHealth when requested. </w:t>
      </w:r>
    </w:p>
    <w:p w:rsidR="00B33FDD" w:rsidRDefault="00B33FDD" w:rsidP="00B33FDD">
      <w:pPr>
        <w:ind w:left="1440"/>
      </w:pPr>
      <w:r>
        <w:rPr>
          <w:color w:val="000000"/>
        </w:rPr>
        <w:t> </w:t>
      </w:r>
    </w:p>
    <w:p w:rsidR="00B33FDD" w:rsidRDefault="00B33FDD" w:rsidP="00B33FDD">
      <w:pPr>
        <w:ind w:left="1440"/>
      </w:pPr>
      <w:r>
        <w:rPr>
          <w:color w:val="000000"/>
        </w:rPr>
        <w:t xml:space="preserve">The commercial IRB must keep the UTHealth liaison informed about its decisions  especially approval of new research, suspensions, terminations, serious noncompliance, continuing noncompliance and unanticipated problems involving risks to subjects or others. </w:t>
      </w:r>
    </w:p>
    <w:p w:rsidR="00B33FDD" w:rsidRDefault="00B33FDD" w:rsidP="00B33FDD">
      <w:pPr>
        <w:ind w:left="1440"/>
      </w:pPr>
      <w:r>
        <w:rPr>
          <w:color w:val="000000"/>
        </w:rPr>
        <w:t> </w:t>
      </w:r>
    </w:p>
    <w:p w:rsidR="00B33FDD" w:rsidRDefault="00B33FDD" w:rsidP="00B33FDD">
      <w:pPr>
        <w:ind w:left="1440"/>
      </w:pPr>
      <w:r>
        <w:rPr>
          <w:color w:val="000000"/>
        </w:rPr>
        <w:t xml:space="preserve">The commercial IRB must work with UTHealth liaison to report suspensions and terminations of IRB approval, unanticipated problems involving risks to subjects or others and serious or continuing </w:t>
      </w:r>
      <w:r w:rsidR="00B6612D">
        <w:rPr>
          <w:color w:val="000000"/>
        </w:rPr>
        <w:t>noncompliance</w:t>
      </w:r>
      <w:r>
        <w:rPr>
          <w:color w:val="000000"/>
        </w:rPr>
        <w:t xml:space="preserve"> to regulatory agencies. </w:t>
      </w:r>
    </w:p>
    <w:p w:rsidR="00B33FDD" w:rsidRDefault="00B33FDD" w:rsidP="00B33FDD">
      <w:pPr>
        <w:ind w:left="1440"/>
      </w:pPr>
      <w:r>
        <w:rPr>
          <w:color w:val="000000"/>
        </w:rPr>
        <w:t> </w:t>
      </w:r>
    </w:p>
    <w:p w:rsidR="00B33FDD" w:rsidRDefault="00B33FDD" w:rsidP="00B33FDD">
      <w:pPr>
        <w:ind w:left="1440"/>
      </w:pPr>
      <w:r>
        <w:rPr>
          <w:color w:val="000000"/>
        </w:rPr>
        <w:t xml:space="preserve">When the commercial IRB conducts site visits or audits of research sites at UTHealth, the information must be shared with the UTHealth liaison. </w:t>
      </w:r>
    </w:p>
    <w:p w:rsidR="00B33FDD" w:rsidRDefault="00B33FDD" w:rsidP="008C2EFD">
      <w:pPr>
        <w:ind w:firstLine="720"/>
        <w:rPr>
          <w:color w:val="000000"/>
        </w:rPr>
      </w:pPr>
    </w:p>
    <w:p w:rsidR="00B33FDD" w:rsidRDefault="00B33FDD" w:rsidP="008C2EFD">
      <w:pPr>
        <w:ind w:firstLine="720"/>
        <w:rPr>
          <w:color w:val="000000"/>
        </w:rPr>
      </w:pPr>
    </w:p>
    <w:p w:rsidR="00B33FDD" w:rsidRDefault="00B33FDD" w:rsidP="008C2EFD">
      <w:pPr>
        <w:ind w:firstLine="720"/>
        <w:rPr>
          <w:color w:val="000000"/>
        </w:rPr>
      </w:pPr>
    </w:p>
    <w:p w:rsidR="00B33FDD" w:rsidRDefault="00B33FDD" w:rsidP="008C2EFD">
      <w:pPr>
        <w:ind w:firstLine="720"/>
        <w:rPr>
          <w:color w:val="000000"/>
        </w:rPr>
      </w:pPr>
    </w:p>
    <w:p w:rsidR="00B33FDD" w:rsidRDefault="00B33FDD" w:rsidP="008C2EFD">
      <w:pPr>
        <w:ind w:firstLine="720"/>
        <w:rPr>
          <w:rFonts w:ascii="Arial" w:hAnsi="Arial" w:cs="Arial"/>
          <w:u w:val="single"/>
        </w:rPr>
      </w:pPr>
    </w:p>
    <w:p w:rsidR="008C2EFD" w:rsidRDefault="008C2EFD">
      <w:pPr>
        <w:rPr>
          <w:rFonts w:ascii="Arial" w:hAnsi="Arial" w:cs="Arial"/>
        </w:rPr>
      </w:pPr>
    </w:p>
    <w:p w:rsidR="003E3579" w:rsidRDefault="003E3579">
      <w:pPr>
        <w:rPr>
          <w:rFonts w:ascii="Arial" w:hAnsi="Arial" w:cs="Arial"/>
          <w:b/>
          <w:bCs/>
        </w:rPr>
      </w:pPr>
      <w:r>
        <w:rPr>
          <w:rFonts w:ascii="Arial" w:hAnsi="Arial" w:cs="Arial"/>
          <w:b/>
          <w:bCs/>
        </w:rPr>
        <w:t>5.</w:t>
      </w:r>
      <w:r w:rsidR="008C2EFD">
        <w:rPr>
          <w:rFonts w:ascii="Arial" w:hAnsi="Arial" w:cs="Arial"/>
          <w:b/>
          <w:bCs/>
        </w:rPr>
        <w:t>4</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5.4.1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3E3579" w:rsidRPr="00C57B9F" w:rsidRDefault="003E3579" w:rsidP="00FF6862">
      <w:pPr>
        <w:ind w:left="1440" w:hanging="720"/>
        <w:rPr>
          <w:rFonts w:ascii="Arial" w:eastAsia="Times New Roman" w:hAnsi="Arial" w:cs="Arial"/>
          <w:b/>
          <w:bCs/>
          <w:color w:val="000000"/>
          <w:szCs w:val="24"/>
        </w:rPr>
      </w:pPr>
      <w:r w:rsidRPr="00C57B9F">
        <w:rPr>
          <w:rFonts w:ascii="Arial" w:hAnsi="Arial" w:cs="Arial"/>
        </w:rPr>
        <w:t>5.</w:t>
      </w:r>
      <w:r w:rsidR="008C2EFD" w:rsidRPr="00C57B9F">
        <w:rPr>
          <w:rFonts w:ascii="Arial" w:hAnsi="Arial" w:cs="Arial"/>
        </w:rPr>
        <w:t>4.2</w:t>
      </w:r>
      <w:r w:rsidRPr="00C57B9F">
        <w:rPr>
          <w:rFonts w:ascii="Arial" w:hAnsi="Arial" w:cs="Arial"/>
        </w:rPr>
        <w:tab/>
      </w:r>
      <w:r w:rsidRPr="00C57B9F">
        <w:rPr>
          <w:rFonts w:ascii="Arial" w:eastAsia="Times New Roman" w:hAnsi="Arial" w:cs="Arial"/>
          <w:color w:val="000000"/>
          <w:szCs w:val="24"/>
        </w:rPr>
        <w:t xml:space="preserve">In its proposal, Proposer must indicate whether it will consent to include in the Agreement the </w:t>
      </w:r>
      <w:r w:rsidR="00F40DFE" w:rsidRPr="00C57B9F">
        <w:rPr>
          <w:rFonts w:ascii="Arial" w:eastAsia="Times New Roman" w:hAnsi="Arial" w:cs="Arial"/>
          <w:color w:val="000000"/>
          <w:szCs w:val="24"/>
        </w:rPr>
        <w:t xml:space="preserve">“Access by </w:t>
      </w:r>
      <w:r w:rsidR="00642434" w:rsidRPr="00C57B9F">
        <w:rPr>
          <w:rFonts w:ascii="Arial" w:eastAsia="Times New Roman" w:hAnsi="Arial" w:cs="Arial"/>
          <w:color w:val="000000"/>
          <w:szCs w:val="24"/>
        </w:rPr>
        <w:t>Individual</w:t>
      </w:r>
      <w:r w:rsidR="00F40DFE" w:rsidRPr="00C57B9F">
        <w:rPr>
          <w:rFonts w:ascii="Arial" w:eastAsia="Times New Roman" w:hAnsi="Arial" w:cs="Arial"/>
          <w:color w:val="000000"/>
          <w:szCs w:val="24"/>
        </w:rPr>
        <w:t xml:space="preserve">s with Disabilities” language that is </w:t>
      </w:r>
      <w:r w:rsidRPr="00C57B9F">
        <w:rPr>
          <w:rFonts w:ascii="Arial" w:eastAsia="Times New Roman" w:hAnsi="Arial" w:cs="Arial"/>
          <w:color w:val="000000"/>
          <w:szCs w:val="24"/>
        </w:rPr>
        <w:t xml:space="preserve">set forth in </w:t>
      </w:r>
      <w:r w:rsidRPr="00C57B9F">
        <w:rPr>
          <w:rFonts w:ascii="Arial" w:eastAsia="Times New Roman" w:hAnsi="Arial" w:cs="Arial"/>
          <w:b/>
          <w:bCs/>
          <w:color w:val="000000"/>
          <w:szCs w:val="24"/>
        </w:rPr>
        <w:t>APPENDIX FIVE</w:t>
      </w:r>
      <w:r w:rsidR="004332D9" w:rsidRPr="00C57B9F">
        <w:rPr>
          <w:rFonts w:ascii="Arial" w:eastAsia="Times New Roman" w:hAnsi="Arial" w:cs="Arial"/>
          <w:b/>
          <w:bCs/>
          <w:color w:val="000000"/>
          <w:szCs w:val="24"/>
        </w:rPr>
        <w:t>,</w:t>
      </w:r>
      <w:r w:rsidR="007C3570" w:rsidRPr="00C57B9F">
        <w:rPr>
          <w:rFonts w:ascii="Arial" w:eastAsia="Times New Roman" w:hAnsi="Arial" w:cs="Arial"/>
          <w:b/>
          <w:bCs/>
          <w:color w:val="000000"/>
          <w:szCs w:val="24"/>
        </w:rPr>
        <w:t xml:space="preserve"> Access by Individuals with Disabilities</w:t>
      </w:r>
      <w:r w:rsidR="007C3570" w:rsidRPr="00C57B9F">
        <w:rPr>
          <w:rFonts w:ascii="Arial" w:eastAsia="Times New Roman" w:hAnsi="Arial" w:cs="Arial"/>
          <w:bCs/>
          <w:color w:val="000000"/>
          <w:szCs w:val="24"/>
        </w:rPr>
        <w:t>.</w:t>
      </w:r>
      <w:r w:rsidRPr="00C57B9F">
        <w:rPr>
          <w:rFonts w:ascii="Arial" w:eastAsia="Times New Roman" w:hAnsi="Arial" w:cs="Arial"/>
          <w:color w:val="000000"/>
          <w:szCs w:val="24"/>
        </w:rPr>
        <w:t xml:space="preserve"> </w:t>
      </w:r>
      <w:r w:rsidR="007C3570" w:rsidRPr="00C57B9F">
        <w:rPr>
          <w:rFonts w:ascii="Arial" w:eastAsia="Times New Roman" w:hAnsi="Arial" w:cs="Arial"/>
          <w:color w:val="000000"/>
          <w:szCs w:val="24"/>
        </w:rPr>
        <w:t xml:space="preserve"> </w:t>
      </w:r>
      <w:r w:rsidRPr="00C57B9F">
        <w:rPr>
          <w:rFonts w:ascii="Arial" w:eastAsia="Times New Roman" w:hAnsi="Arial" w:cs="Arial"/>
          <w:color w:val="000000"/>
          <w:szCs w:val="24"/>
        </w:rPr>
        <w:t xml:space="preserve">If Proposer objects to the inclusion of the </w:t>
      </w:r>
      <w:r w:rsidR="00F40DFE" w:rsidRPr="00C57B9F">
        <w:rPr>
          <w:rFonts w:ascii="Arial" w:eastAsia="Times New Roman" w:hAnsi="Arial" w:cs="Arial"/>
          <w:color w:val="000000"/>
          <w:szCs w:val="24"/>
        </w:rPr>
        <w:t xml:space="preserve">“Access by </w:t>
      </w:r>
      <w:r w:rsidR="00642434" w:rsidRPr="00C57B9F">
        <w:rPr>
          <w:rFonts w:ascii="Arial" w:eastAsia="Times New Roman" w:hAnsi="Arial" w:cs="Arial"/>
          <w:color w:val="000000"/>
          <w:szCs w:val="24"/>
        </w:rPr>
        <w:t>Individual</w:t>
      </w:r>
      <w:r w:rsidR="00F40DFE" w:rsidRPr="00C57B9F">
        <w:rPr>
          <w:rFonts w:ascii="Arial" w:eastAsia="Times New Roman" w:hAnsi="Arial" w:cs="Arial"/>
          <w:color w:val="000000"/>
          <w:szCs w:val="24"/>
        </w:rPr>
        <w:t xml:space="preserve">s with Disabilities” language </w:t>
      </w:r>
      <w:r w:rsidRPr="00C57B9F">
        <w:rPr>
          <w:rFonts w:ascii="Arial" w:eastAsia="Times New Roman" w:hAnsi="Arial" w:cs="Arial"/>
          <w:color w:val="000000"/>
          <w:szCs w:val="24"/>
        </w:rPr>
        <w:t>in the Agreement, Proposer must, as part of its proposal, specifically identify and describe in detail all of the reasons for Proposer’s objection. NOTE THAT A GENERAL OBJECTION IS NOT AN ACCEPTABLE RESPONSE TO THIS QUESTION.</w:t>
      </w:r>
    </w:p>
    <w:p w:rsidR="001B489C" w:rsidRPr="00C57B9F" w:rsidRDefault="001B489C" w:rsidP="00FF6862">
      <w:pPr>
        <w:ind w:left="1440" w:hanging="720"/>
        <w:rPr>
          <w:rFonts w:ascii="Arial" w:hAnsi="Arial" w:cs="Arial"/>
          <w:bCs/>
          <w:color w:val="000000"/>
        </w:rPr>
      </w:pPr>
    </w:p>
    <w:p w:rsidR="00510EAA"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rPr>
      </w:pPr>
      <w:r w:rsidRPr="00C57B9F">
        <w:rPr>
          <w:rFonts w:ascii="Arial" w:hAnsi="Arial" w:cs="Arial"/>
          <w:bCs/>
          <w:color w:val="000000"/>
        </w:rPr>
        <w:t>5.</w:t>
      </w:r>
      <w:r w:rsidR="008C2EFD" w:rsidRPr="00C57B9F">
        <w:rPr>
          <w:rFonts w:ascii="Arial" w:hAnsi="Arial" w:cs="Arial"/>
          <w:bCs/>
          <w:color w:val="000000"/>
        </w:rPr>
        <w:t>4.3</w:t>
      </w:r>
      <w:r w:rsidRPr="00C57B9F">
        <w:rPr>
          <w:rFonts w:ascii="Arial" w:hAnsi="Arial" w:cs="Arial"/>
          <w:bCs/>
          <w:color w:val="000000"/>
        </w:rPr>
        <w:tab/>
      </w:r>
      <w:r w:rsidR="00510EAA" w:rsidRPr="00C57B9F">
        <w:rPr>
          <w:rFonts w:ascii="Arial" w:hAnsi="Arial" w:cs="Arial"/>
          <w:bCs/>
          <w:color w:val="000000"/>
        </w:rPr>
        <w:t xml:space="preserve">In its proposal, Proposer must respond to each item listed in </w:t>
      </w:r>
      <w:r w:rsidR="00510EAA" w:rsidRPr="00C57B9F">
        <w:rPr>
          <w:rFonts w:ascii="Arial" w:hAnsi="Arial" w:cs="Arial"/>
          <w:b/>
          <w:bCs/>
          <w:color w:val="000000"/>
        </w:rPr>
        <w:t>APPENDIX SIX, Electronic and Information Resources (“EIR”) Environment Specifications</w:t>
      </w:r>
      <w:r w:rsidR="00510EAA" w:rsidRPr="00C57B9F">
        <w:rPr>
          <w:rFonts w:ascii="Arial" w:hAnsi="Arial" w:cs="Arial"/>
          <w:bCs/>
          <w:color w:val="000000"/>
        </w:rPr>
        <w:t>.</w:t>
      </w:r>
      <w:r w:rsidR="00510EAA" w:rsidRPr="00C57B9F">
        <w:rPr>
          <w:rFonts w:ascii="Arial" w:hAnsi="Arial" w:cs="Arial"/>
          <w:b/>
          <w:bCs/>
          <w:color w:val="000000"/>
        </w:rPr>
        <w:t xml:space="preserve">  APPENDIX SIX</w:t>
      </w:r>
      <w:r w:rsidR="00510EAA" w:rsidRPr="00C57B9F">
        <w:rPr>
          <w:rFonts w:ascii="Arial" w:hAnsi="Arial" w:cs="Arial"/>
          <w:bCs/>
          <w:color w:val="000000"/>
        </w:rPr>
        <w:t xml:space="preserve"> will establish specifications, representations, warranties and agreements related to the EIR that Proposer is offering to provide to University.  Responses to </w:t>
      </w:r>
      <w:r w:rsidR="00510EAA" w:rsidRPr="00C57B9F">
        <w:rPr>
          <w:rFonts w:ascii="Arial" w:hAnsi="Arial" w:cs="Arial"/>
          <w:b/>
          <w:bCs/>
          <w:color w:val="000000"/>
        </w:rPr>
        <w:t>APPENDIX SIX</w:t>
      </w:r>
      <w:r w:rsidR="00510EAA" w:rsidRPr="00C57B9F">
        <w:rPr>
          <w:rFonts w:ascii="Arial" w:hAnsi="Arial" w:cs="Arial"/>
          <w:bCs/>
          <w:color w:val="000000"/>
        </w:rPr>
        <w:t xml:space="preserve"> will be incorporated into the Agreement and will be binding on Contractor.</w:t>
      </w:r>
    </w:p>
    <w:p w:rsidR="00C57B9F" w:rsidRDefault="00C57B9F"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rPr>
      </w:pPr>
    </w:p>
    <w:p w:rsidR="00C57B9F" w:rsidRPr="00C57B9F" w:rsidRDefault="00C57B9F"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sidRPr="00C57B9F">
        <w:rPr>
          <w:rFonts w:ascii="Arial" w:hAnsi="Arial" w:cs="Arial"/>
          <w:bCs/>
          <w:color w:val="000000"/>
        </w:rPr>
        <w:t>5.4.4</w:t>
      </w:r>
      <w:r w:rsidRPr="00C57B9F">
        <w:rPr>
          <w:rFonts w:ascii="Arial" w:hAnsi="Arial" w:cs="Arial"/>
          <w:b/>
          <w:bCs/>
          <w:color w:val="000000"/>
        </w:rPr>
        <w:tab/>
      </w:r>
      <w:r w:rsidRPr="00C57B9F">
        <w:rPr>
          <w:rFonts w:ascii="Arial" w:hAnsi="Arial" w:cs="Arial"/>
          <w:bCs/>
          <w:color w:val="000000"/>
        </w:rPr>
        <w:t xml:space="preserve">In its proposal, Proposer must respond to each item listed in </w:t>
      </w:r>
      <w:r w:rsidRPr="00C57B9F">
        <w:rPr>
          <w:rFonts w:ascii="Arial" w:hAnsi="Arial" w:cs="Arial"/>
          <w:b/>
          <w:bCs/>
          <w:color w:val="000000"/>
        </w:rPr>
        <w:t>APPENDIX SEVEN,</w:t>
      </w:r>
      <w:r w:rsidRPr="00C57B9F">
        <w:rPr>
          <w:rFonts w:ascii="Arial Bold" w:hAnsi="Arial Bold" w:cs="Arial"/>
          <w:b/>
          <w:spacing w:val="-3"/>
          <w:szCs w:val="22"/>
        </w:rPr>
        <w:t xml:space="preserve"> Security Characteristics and Functionality of Contractor’s Information Resources</w:t>
      </w:r>
      <w:r w:rsidRPr="00C57B9F">
        <w:rPr>
          <w:rFonts w:ascii="Arial Bold" w:hAnsi="Arial Bold" w:cs="Arial"/>
          <w:spacing w:val="-3"/>
          <w:szCs w:val="22"/>
        </w:rPr>
        <w:t>.</w:t>
      </w:r>
      <w:r w:rsidRPr="00C57B9F">
        <w:rPr>
          <w:rFonts w:ascii="Arial" w:hAnsi="Arial" w:cs="Arial"/>
          <w:b/>
          <w:bCs/>
          <w:color w:val="000000"/>
        </w:rPr>
        <w:t xml:space="preserve"> APPENDIX SEVEN</w:t>
      </w:r>
      <w:r w:rsidRPr="00C57B9F">
        <w:rPr>
          <w:rFonts w:ascii="Arial" w:hAnsi="Arial" w:cs="Arial"/>
          <w:bCs/>
          <w:color w:val="000000"/>
        </w:rPr>
        <w:t xml:space="preserve"> will establish specifications, representations, warranties and agreements related to the EIR that Proposer is offering to provide to University.  Responses to </w:t>
      </w:r>
      <w:r w:rsidRPr="00C57B9F">
        <w:rPr>
          <w:rFonts w:ascii="Arial" w:hAnsi="Arial" w:cs="Arial"/>
          <w:b/>
          <w:bCs/>
          <w:color w:val="000000"/>
        </w:rPr>
        <w:t>APPENDIX SEVEN</w:t>
      </w:r>
      <w:r w:rsidRPr="00C57B9F">
        <w:rPr>
          <w:rFonts w:ascii="Arial" w:hAnsi="Arial" w:cs="Arial"/>
          <w:bCs/>
          <w:color w:val="000000"/>
        </w:rPr>
        <w:t xml:space="preserve"> will be incorporated into the Agreement and will be binding on Contractor.</w:t>
      </w:r>
    </w:p>
    <w:p w:rsidR="00E36914" w:rsidRPr="00C57B9F" w:rsidRDefault="00E36914" w:rsidP="00E36914">
      <w:pPr>
        <w:ind w:left="720"/>
        <w:rPr>
          <w:rFonts w:ascii="Arial" w:hAnsi="Arial" w:cs="Arial"/>
          <w:b/>
          <w:bCs/>
          <w:color w:val="000000"/>
        </w:rPr>
      </w:pPr>
    </w:p>
    <w:p w:rsidR="001452DA" w:rsidRPr="00C57B9F" w:rsidRDefault="001452DA" w:rsidP="00825DBA">
      <w:r w:rsidRPr="00C57B9F">
        <w:t xml:space="preserve">Pursuant to UTS165, </w:t>
      </w:r>
      <w:r w:rsidR="00825DBA" w:rsidRPr="00C57B9F">
        <w:t>“</w:t>
      </w:r>
      <w:r w:rsidR="00825DBA" w:rsidRPr="00C57B9F">
        <w:rPr>
          <w:b/>
        </w:rPr>
        <w:t>Information Resources</w:t>
      </w:r>
      <w:r w:rsidR="00825DBA" w:rsidRPr="00C57B9F">
        <w:t>”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r w:rsidRPr="00C57B9F">
        <w:t>.</w:t>
      </w:r>
    </w:p>
    <w:p w:rsidR="001452DA" w:rsidRPr="00C57B9F" w:rsidRDefault="001452DA" w:rsidP="00825DBA"/>
    <w:p w:rsidR="00825DBA" w:rsidRPr="00C57B9F" w:rsidRDefault="001452DA" w:rsidP="00825DBA">
      <w:r w:rsidRPr="00C57B9F">
        <w:t>Pursuant to UTS165, “</w:t>
      </w:r>
      <w:r w:rsidRPr="00C57B9F">
        <w:rPr>
          <w:b/>
        </w:rPr>
        <w:t>Data</w:t>
      </w:r>
      <w:r w:rsidRPr="00C57B9F">
        <w:t>” means recorded data, regardless of form or media in which it may be recorded, which constitute the original data necessary to support the business of UT System or original observations and methods of a study and the analyses of such original data that are necessary to support research activities and validate research findings. Data includes, but is not limited to: printed records, observations and notes; electronic data; video and audio records, photographs and negatives</w:t>
      </w:r>
      <w:r w:rsidR="00C57B9F">
        <w:t>.</w:t>
      </w:r>
    </w:p>
    <w:p w:rsidR="008375F0" w:rsidRPr="00C57B9F"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bCs/>
          <w:color w:val="000000"/>
        </w:rPr>
      </w:pPr>
    </w:p>
    <w:p w:rsidR="008375F0" w:rsidRDefault="008375F0" w:rsidP="004701B6">
      <w:pPr>
        <w:ind w:left="1440" w:hanging="720"/>
        <w:rPr>
          <w:rFonts w:ascii="Arial" w:hAnsi="Arial" w:cs="Arial"/>
          <w:b/>
          <w:bCs/>
          <w:color w:val="000000"/>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C57B9F" w:rsidRDefault="00C57B9F" w:rsidP="00C57B9F">
      <w:pPr>
        <w:ind w:left="1440" w:hanging="720"/>
      </w:pPr>
      <w:r>
        <w:rPr>
          <w:rFonts w:ascii="Arial" w:hAnsi="Arial" w:cs="Arial"/>
          <w:bCs/>
        </w:rPr>
        <w:t>5.4.5</w:t>
      </w:r>
      <w:r w:rsidR="008C2EFD" w:rsidRPr="008C2EFD">
        <w:rPr>
          <w:rFonts w:ascii="Arial" w:hAnsi="Arial" w:cs="Arial"/>
          <w:bCs/>
        </w:rPr>
        <w:tab/>
      </w:r>
      <w:r>
        <w:rPr>
          <w:color w:val="000000"/>
        </w:rPr>
        <w:t>Is the commercial IRB accredited by the Association for Accreditation of Human Research Protection Programs?</w:t>
      </w:r>
    </w:p>
    <w:p w:rsidR="008C2EFD" w:rsidRPr="008C2EFD" w:rsidRDefault="008C2EFD" w:rsidP="008C2EFD">
      <w:pPr>
        <w:jc w:val="left"/>
        <w:rPr>
          <w:rFonts w:ascii="Arial" w:hAnsi="Arial" w:cs="Arial"/>
          <w:bCs/>
        </w:rPr>
      </w:pPr>
    </w:p>
    <w:p w:rsidR="00C57B9F" w:rsidRDefault="008C2EFD" w:rsidP="00C57B9F">
      <w:pPr>
        <w:ind w:left="720"/>
        <w:rPr>
          <w:color w:val="000000"/>
        </w:rPr>
      </w:pPr>
      <w:r w:rsidRPr="008C2EFD">
        <w:rPr>
          <w:rFonts w:ascii="Arial" w:hAnsi="Arial" w:cs="Arial"/>
          <w:bCs/>
        </w:rPr>
        <w:t>5.4.</w:t>
      </w:r>
      <w:r w:rsidR="00C57B9F">
        <w:rPr>
          <w:rFonts w:ascii="Arial" w:hAnsi="Arial" w:cs="Arial"/>
          <w:bCs/>
        </w:rPr>
        <w:t>6</w:t>
      </w:r>
      <w:r w:rsidRPr="008C2EFD">
        <w:rPr>
          <w:rFonts w:ascii="Arial" w:hAnsi="Arial" w:cs="Arial"/>
          <w:bCs/>
        </w:rPr>
        <w:tab/>
      </w:r>
      <w:r w:rsidR="00C57B9F">
        <w:rPr>
          <w:color w:val="000000"/>
        </w:rPr>
        <w:t>Is the commercial IRB registered with OHRP?</w:t>
      </w:r>
    </w:p>
    <w:p w:rsidR="00C57B9F" w:rsidRDefault="00C57B9F" w:rsidP="00C57B9F">
      <w:pPr>
        <w:ind w:left="720"/>
        <w:rPr>
          <w:color w:val="000000"/>
        </w:rPr>
      </w:pPr>
    </w:p>
    <w:p w:rsidR="00C57B9F" w:rsidRDefault="00C57B9F" w:rsidP="00C57B9F">
      <w:pPr>
        <w:ind w:firstLine="720"/>
        <w:rPr>
          <w:color w:val="000000"/>
        </w:rPr>
      </w:pPr>
      <w:r>
        <w:rPr>
          <w:color w:val="000000"/>
        </w:rPr>
        <w:t>5.4.7</w:t>
      </w:r>
      <w:r>
        <w:rPr>
          <w:color w:val="000000"/>
        </w:rPr>
        <w:tab/>
        <w:t>Describe the composition of the IRB panels.</w:t>
      </w:r>
    </w:p>
    <w:p w:rsidR="00C57B9F" w:rsidRDefault="00C57B9F" w:rsidP="00C57B9F">
      <w:pPr>
        <w:ind w:firstLine="720"/>
        <w:rPr>
          <w:color w:val="000000"/>
        </w:rPr>
      </w:pPr>
    </w:p>
    <w:p w:rsidR="00C57B9F" w:rsidRDefault="00C57B9F" w:rsidP="00C57B9F">
      <w:pPr>
        <w:ind w:firstLine="720"/>
        <w:rPr>
          <w:color w:val="000000"/>
        </w:rPr>
      </w:pPr>
      <w:r>
        <w:rPr>
          <w:color w:val="000000"/>
        </w:rPr>
        <w:t>5.4.8</w:t>
      </w:r>
      <w:r>
        <w:rPr>
          <w:color w:val="000000"/>
        </w:rPr>
        <w:tab/>
        <w:t>How often does the IRB meet?</w:t>
      </w:r>
    </w:p>
    <w:p w:rsidR="00C57B9F" w:rsidRDefault="00C57B9F" w:rsidP="00C57B9F">
      <w:pPr>
        <w:ind w:firstLine="720"/>
        <w:rPr>
          <w:color w:val="000000"/>
        </w:rPr>
      </w:pPr>
    </w:p>
    <w:p w:rsidR="00C57B9F" w:rsidRDefault="00C57B9F" w:rsidP="00C57B9F">
      <w:pPr>
        <w:ind w:firstLine="720"/>
        <w:rPr>
          <w:color w:val="000000"/>
        </w:rPr>
      </w:pPr>
      <w:r>
        <w:rPr>
          <w:color w:val="000000"/>
        </w:rPr>
        <w:t>5.4.9</w:t>
      </w:r>
      <w:r>
        <w:rPr>
          <w:color w:val="000000"/>
        </w:rPr>
        <w:tab/>
        <w:t>How often do the IRB panels meet?</w:t>
      </w:r>
    </w:p>
    <w:p w:rsidR="00C57B9F" w:rsidRDefault="00C57B9F" w:rsidP="00C57B9F">
      <w:pPr>
        <w:ind w:firstLine="720"/>
        <w:rPr>
          <w:color w:val="000000"/>
        </w:rPr>
      </w:pPr>
    </w:p>
    <w:p w:rsidR="00C57B9F" w:rsidRDefault="00C57B9F" w:rsidP="00C57B9F">
      <w:pPr>
        <w:ind w:firstLine="720"/>
        <w:rPr>
          <w:color w:val="000000"/>
        </w:rPr>
      </w:pPr>
      <w:r>
        <w:rPr>
          <w:color w:val="000000"/>
        </w:rPr>
        <w:t>5.4.10</w:t>
      </w:r>
      <w:r>
        <w:rPr>
          <w:color w:val="000000"/>
        </w:rPr>
        <w:tab/>
        <w:t>What are the average timelines for protocol approval?</w:t>
      </w:r>
    </w:p>
    <w:p w:rsidR="00C57B9F" w:rsidRDefault="00C57B9F" w:rsidP="00C57B9F">
      <w:pPr>
        <w:ind w:firstLine="720"/>
        <w:rPr>
          <w:color w:val="000000"/>
        </w:rPr>
      </w:pPr>
    </w:p>
    <w:p w:rsidR="00C57B9F" w:rsidRDefault="00C57B9F" w:rsidP="00C57B9F">
      <w:pPr>
        <w:ind w:firstLine="720"/>
        <w:rPr>
          <w:color w:val="000000"/>
        </w:rPr>
      </w:pPr>
      <w:r>
        <w:rPr>
          <w:color w:val="000000"/>
        </w:rPr>
        <w:t>5.4.11</w:t>
      </w:r>
      <w:r>
        <w:rPr>
          <w:color w:val="000000"/>
        </w:rPr>
        <w:tab/>
        <w:t>How does the commercial IRB manage IRB member conflict of interest?</w:t>
      </w:r>
    </w:p>
    <w:p w:rsidR="00C57B9F" w:rsidRDefault="00C57B9F" w:rsidP="00C57B9F">
      <w:pPr>
        <w:ind w:firstLine="720"/>
        <w:rPr>
          <w:color w:val="000000"/>
        </w:rPr>
      </w:pPr>
    </w:p>
    <w:p w:rsidR="00C57B9F" w:rsidRDefault="00C57B9F" w:rsidP="00C57B9F">
      <w:pPr>
        <w:ind w:firstLine="720"/>
        <w:rPr>
          <w:color w:val="000000"/>
        </w:rPr>
      </w:pPr>
      <w:r>
        <w:rPr>
          <w:color w:val="000000"/>
        </w:rPr>
        <w:t>5.4.12</w:t>
      </w:r>
      <w:r>
        <w:rPr>
          <w:color w:val="000000"/>
        </w:rPr>
        <w:tab/>
        <w:t>Does the commercial IRB have a quality assurance/quality improvement plan?</w:t>
      </w:r>
    </w:p>
    <w:p w:rsidR="00C57B9F" w:rsidRDefault="00C57B9F" w:rsidP="00C57B9F">
      <w:pPr>
        <w:ind w:firstLine="720"/>
        <w:rPr>
          <w:color w:val="000000"/>
        </w:rPr>
      </w:pPr>
    </w:p>
    <w:p w:rsidR="00C57B9F" w:rsidRDefault="00C57B9F" w:rsidP="00C57B9F">
      <w:pPr>
        <w:ind w:firstLine="720"/>
        <w:rPr>
          <w:color w:val="000000"/>
        </w:rPr>
      </w:pPr>
      <w:r>
        <w:rPr>
          <w:color w:val="000000"/>
        </w:rPr>
        <w:t>5.4.13</w:t>
      </w:r>
      <w:r>
        <w:rPr>
          <w:color w:val="000000"/>
        </w:rPr>
        <w:tab/>
        <w:t xml:space="preserve">What will be the method of communication with UTHealth? </w:t>
      </w:r>
    </w:p>
    <w:p w:rsidR="00C57B9F" w:rsidRDefault="00C57B9F" w:rsidP="00C57B9F">
      <w:pPr>
        <w:ind w:firstLine="720"/>
        <w:rPr>
          <w:color w:val="000000"/>
        </w:rPr>
      </w:pPr>
    </w:p>
    <w:p w:rsidR="00C57B9F" w:rsidRDefault="00C57B9F" w:rsidP="00C57B9F">
      <w:pPr>
        <w:ind w:left="1440" w:hanging="720"/>
      </w:pPr>
      <w:r>
        <w:rPr>
          <w:color w:val="000000"/>
        </w:rPr>
        <w:t>5.4.14</w:t>
      </w:r>
      <w:r>
        <w:rPr>
          <w:color w:val="000000"/>
        </w:rPr>
        <w:tab/>
        <w:t>Will the commercial IRB appoint a designated individual to communicate with UTHealth?</w:t>
      </w:r>
    </w:p>
    <w:p w:rsidR="00C57B9F" w:rsidRDefault="00C57B9F" w:rsidP="00C57B9F">
      <w:pPr>
        <w:ind w:firstLine="720"/>
      </w:pPr>
    </w:p>
    <w:p w:rsidR="00C57B9F" w:rsidRDefault="00C57B9F" w:rsidP="00C57B9F">
      <w:pPr>
        <w:ind w:firstLine="720"/>
      </w:pPr>
      <w:r>
        <w:t>5.4.15</w:t>
      </w:r>
      <w:r>
        <w:tab/>
      </w:r>
      <w:r>
        <w:rPr>
          <w:color w:val="000000"/>
        </w:rPr>
        <w:t>Will UTHealth have access to approved documents and approval letters?</w:t>
      </w:r>
    </w:p>
    <w:p w:rsidR="00C57B9F" w:rsidRDefault="00C57B9F" w:rsidP="00C57B9F">
      <w:pPr>
        <w:ind w:firstLine="720"/>
      </w:pPr>
    </w:p>
    <w:p w:rsidR="00C57B9F" w:rsidRDefault="00C57B9F" w:rsidP="00C57B9F">
      <w:pPr>
        <w:ind w:left="1440" w:hanging="720"/>
      </w:pPr>
      <w:r>
        <w:t>5.4.16</w:t>
      </w:r>
      <w:r>
        <w:tab/>
      </w:r>
      <w:r>
        <w:rPr>
          <w:color w:val="000000"/>
        </w:rPr>
        <w:t>Will UTHealth have to sign exclusivity clause or can UTHealth contract with more than one commercial IRB?</w:t>
      </w:r>
    </w:p>
    <w:p w:rsidR="00C57B9F" w:rsidRDefault="00C57B9F" w:rsidP="00C57B9F">
      <w:pPr>
        <w:ind w:firstLine="720"/>
      </w:pPr>
    </w:p>
    <w:p w:rsidR="00C57B9F" w:rsidRDefault="00C57B9F" w:rsidP="00C57B9F">
      <w:pPr>
        <w:ind w:left="1440" w:hanging="720"/>
        <w:rPr>
          <w:color w:val="000000"/>
        </w:rPr>
      </w:pPr>
      <w:r>
        <w:t>5.4.17</w:t>
      </w:r>
      <w:r>
        <w:tab/>
      </w:r>
      <w:r>
        <w:rPr>
          <w:color w:val="000000"/>
        </w:rPr>
        <w:t>Does the commercial IRB offer other services such as IRB member and staff education, DSMB services?</w:t>
      </w:r>
    </w:p>
    <w:p w:rsidR="00C57B9F" w:rsidRDefault="00C57B9F" w:rsidP="00C57B9F">
      <w:pPr>
        <w:ind w:left="1440" w:hanging="720"/>
        <w:rPr>
          <w:color w:val="000000"/>
        </w:rPr>
      </w:pPr>
    </w:p>
    <w:p w:rsidR="00C57B9F" w:rsidRDefault="00C57B9F" w:rsidP="00C57B9F">
      <w:pPr>
        <w:ind w:left="1440" w:hanging="720"/>
        <w:rPr>
          <w:color w:val="000000"/>
        </w:rPr>
      </w:pPr>
      <w:r>
        <w:rPr>
          <w:color w:val="000000"/>
        </w:rPr>
        <w:t>5.4.18</w:t>
      </w:r>
      <w:r>
        <w:rPr>
          <w:color w:val="000000"/>
        </w:rPr>
        <w:tab/>
        <w:t>Does the commercial IRB have the ability to conduct post approval monitoring at UTHealth?</w:t>
      </w:r>
    </w:p>
    <w:p w:rsidR="00C57B9F" w:rsidRDefault="00C57B9F" w:rsidP="00C57B9F">
      <w:pPr>
        <w:ind w:left="1440" w:hanging="720"/>
        <w:rPr>
          <w:color w:val="000000"/>
        </w:rPr>
      </w:pPr>
    </w:p>
    <w:p w:rsidR="00C61564" w:rsidRDefault="00C57B9F" w:rsidP="00C61564">
      <w:pPr>
        <w:ind w:left="1440" w:hanging="720"/>
        <w:rPr>
          <w:color w:val="000000"/>
        </w:rPr>
      </w:pPr>
      <w:r>
        <w:rPr>
          <w:color w:val="000000"/>
        </w:rPr>
        <w:t>5.4.19</w:t>
      </w:r>
      <w:r>
        <w:rPr>
          <w:color w:val="000000"/>
        </w:rPr>
        <w:tab/>
      </w:r>
      <w:r w:rsidR="00C61564">
        <w:rPr>
          <w:color w:val="000000"/>
        </w:rPr>
        <w:t xml:space="preserve">Does the commercial IRB have experience in working with academic medical centers? </w:t>
      </w:r>
      <w:r w:rsidR="00B6612D">
        <w:rPr>
          <w:color w:val="000000"/>
        </w:rPr>
        <w:t xml:space="preserve"> Please provide </w:t>
      </w:r>
      <w:r w:rsidR="00C61564">
        <w:rPr>
          <w:color w:val="000000"/>
        </w:rPr>
        <w:t>a list of AMCs that use its services?</w:t>
      </w:r>
    </w:p>
    <w:p w:rsidR="00C61564" w:rsidRDefault="00C61564" w:rsidP="00C61564">
      <w:pPr>
        <w:ind w:left="1440" w:hanging="720"/>
        <w:rPr>
          <w:color w:val="000000"/>
        </w:rPr>
      </w:pPr>
    </w:p>
    <w:p w:rsidR="00C61564" w:rsidRDefault="00C61564" w:rsidP="00C61564">
      <w:pPr>
        <w:keepNext/>
        <w:autoSpaceDE w:val="0"/>
        <w:autoSpaceDN w:val="0"/>
        <w:ind w:left="1440" w:hanging="720"/>
      </w:pPr>
      <w:r>
        <w:rPr>
          <w:color w:val="000000"/>
        </w:rPr>
        <w:t>5.4.20</w:t>
      </w:r>
      <w:r>
        <w:rPr>
          <w:color w:val="000000"/>
        </w:rPr>
        <w:tab/>
        <w:t>Does the commercial IRB have the experience and capacity to review industry sponsored multi-center clinical trials?</w:t>
      </w:r>
    </w:p>
    <w:p w:rsidR="00C61564" w:rsidRDefault="00C61564" w:rsidP="00C61564">
      <w:pPr>
        <w:ind w:left="1440" w:hanging="720"/>
      </w:pPr>
    </w:p>
    <w:p w:rsidR="00C61564" w:rsidRDefault="00C61564" w:rsidP="00C61564">
      <w:pPr>
        <w:pStyle w:val="ListParagraph"/>
        <w:ind w:left="2160"/>
      </w:pPr>
      <w:r>
        <w:rPr>
          <w:rFonts w:ascii="Arial" w:hAnsi="Arial" w:cs="Arial"/>
          <w:color w:val="000000"/>
        </w:rPr>
        <w:t> </w:t>
      </w:r>
    </w:p>
    <w:p w:rsidR="00C57B9F" w:rsidRDefault="00C57B9F" w:rsidP="00C57B9F">
      <w:pPr>
        <w:ind w:left="1440" w:hanging="720"/>
        <w:rPr>
          <w:color w:val="000000"/>
        </w:rPr>
      </w:pPr>
    </w:p>
    <w:p w:rsidR="00C57B9F" w:rsidRDefault="00C57B9F" w:rsidP="00C57B9F">
      <w:pPr>
        <w:ind w:left="1440" w:hanging="720"/>
      </w:pPr>
    </w:p>
    <w:p w:rsidR="00C57B9F" w:rsidRDefault="00C57B9F" w:rsidP="00C57B9F">
      <w:pPr>
        <w:ind w:left="1440" w:hanging="720"/>
      </w:pPr>
    </w:p>
    <w:p w:rsidR="00C57B9F" w:rsidRDefault="00C57B9F" w:rsidP="00C57B9F">
      <w:pPr>
        <w:ind w:firstLine="720"/>
      </w:pPr>
    </w:p>
    <w:p w:rsidR="00C57B9F" w:rsidRDefault="00C57B9F" w:rsidP="00C57B9F">
      <w:pPr>
        <w:ind w:firstLine="720"/>
      </w:pPr>
    </w:p>
    <w:p w:rsidR="00C57B9F" w:rsidRDefault="00C57B9F" w:rsidP="00C57B9F">
      <w:pPr>
        <w:ind w:firstLine="720"/>
      </w:pPr>
    </w:p>
    <w:p w:rsidR="00C57B9F" w:rsidRDefault="00C57B9F" w:rsidP="00C57B9F">
      <w:pPr>
        <w:ind w:firstLine="720"/>
      </w:pPr>
    </w:p>
    <w:p w:rsidR="00C57B9F" w:rsidRDefault="00C57B9F" w:rsidP="00C57B9F">
      <w:pPr>
        <w:ind w:firstLine="720"/>
      </w:pPr>
    </w:p>
    <w:p w:rsidR="00C57B9F" w:rsidRDefault="00C57B9F" w:rsidP="00C57B9F">
      <w:pPr>
        <w:ind w:firstLine="720"/>
      </w:pPr>
    </w:p>
    <w:p w:rsidR="00C57B9F" w:rsidRDefault="00C57B9F" w:rsidP="00C57B9F">
      <w:pPr>
        <w:ind w:firstLine="720"/>
      </w:pPr>
    </w:p>
    <w:p w:rsidR="00C57B9F" w:rsidRDefault="00C57B9F" w:rsidP="00C57B9F">
      <w:pPr>
        <w:ind w:firstLine="720"/>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B6612D">
        <w:rPr>
          <w:rFonts w:ascii="Arial" w:hAnsi="Arial" w:cs="Arial"/>
        </w:rPr>
        <w:t>Commercial Institutional Review Board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B6612D">
        <w:rPr>
          <w:rFonts w:ascii="Arial" w:hAnsi="Arial" w:cs="Arial"/>
        </w:rPr>
        <w:t>744-R1507</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B6612D">
        <w:rPr>
          <w:rFonts w:ascii="Arial" w:hAnsi="Arial" w:cs="Arial"/>
        </w:rPr>
        <w:t>Commercial IRB</w:t>
      </w:r>
      <w:r>
        <w:rPr>
          <w:rFonts w:ascii="Arial" w:hAnsi="Arial" w:cs="Arial"/>
        </w:rPr>
        <w:t xml:space="preserve"> </w:t>
      </w:r>
      <w:r w:rsidR="00B6612D">
        <w:rPr>
          <w:rFonts w:ascii="Arial" w:hAnsi="Arial" w:cs="Arial"/>
        </w:rPr>
        <w:t>S</w:t>
      </w:r>
      <w:r>
        <w:rPr>
          <w:rFonts w:ascii="Arial" w:hAnsi="Arial" w:cs="Arial"/>
        </w:rPr>
        <w:t>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C61564" w:rsidRDefault="00C61564" w:rsidP="00C61564">
      <w:pPr>
        <w:ind w:left="720"/>
        <w:jc w:val="left"/>
        <w:rPr>
          <w:rFonts w:ascii="Arial" w:hAnsi="Arial" w:cs="Arial"/>
          <w:b/>
          <w:bCs/>
          <w:color w:val="000000"/>
          <w:spacing w:val="-3"/>
        </w:rPr>
      </w:pPr>
      <w:r>
        <w:rPr>
          <w:rFonts w:ascii="Arial" w:hAnsi="Arial" w:cs="Arial"/>
          <w:b/>
          <w:bCs/>
          <w:color w:val="000000"/>
          <w:spacing w:val="-3"/>
        </w:rPr>
        <w:t>Service</w:t>
      </w:r>
      <w:r w:rsidR="00BA6D8F">
        <w:rPr>
          <w:rFonts w:ascii="Arial" w:hAnsi="Arial" w:cs="Arial"/>
          <w:b/>
          <w:bCs/>
          <w:color w:val="000000"/>
          <w:spacing w:val="-3"/>
        </w:rPr>
        <w:t>s:</w:t>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t>Fee Amount</w:t>
      </w:r>
    </w:p>
    <w:p w:rsidR="00C61564" w:rsidRDefault="00C61564" w:rsidP="00C61564">
      <w:pPr>
        <w:ind w:left="720"/>
        <w:jc w:val="left"/>
      </w:pPr>
    </w:p>
    <w:p w:rsidR="00C61564" w:rsidRDefault="00C61564" w:rsidP="00C61564">
      <w:pPr>
        <w:ind w:left="720"/>
        <w:jc w:val="left"/>
        <w:rPr>
          <w:rFonts w:ascii="Arial" w:hAnsi="Arial" w:cs="Arial"/>
          <w:color w:val="000000"/>
          <w:spacing w:val="-3"/>
        </w:rPr>
      </w:pPr>
      <w:r>
        <w:rPr>
          <w:rFonts w:ascii="Arial" w:hAnsi="Arial" w:cs="Arial"/>
          <w:color w:val="000000"/>
          <w:spacing w:val="-3"/>
        </w:rPr>
        <w:t>Internal Review of Protocol &amp; Site-Institution</w:t>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t>$________________</w:t>
      </w:r>
    </w:p>
    <w:p w:rsidR="00C61564" w:rsidRDefault="00C61564" w:rsidP="00C61564">
      <w:pPr>
        <w:ind w:left="720"/>
        <w:jc w:val="left"/>
      </w:pPr>
    </w:p>
    <w:p w:rsidR="00C61564" w:rsidRDefault="00C61564" w:rsidP="00C61564">
      <w:pPr>
        <w:ind w:left="720"/>
        <w:jc w:val="left"/>
        <w:rPr>
          <w:rFonts w:ascii="Arial" w:hAnsi="Arial" w:cs="Arial"/>
          <w:color w:val="000000"/>
          <w:spacing w:val="-3"/>
        </w:rPr>
      </w:pPr>
      <w:r>
        <w:rPr>
          <w:rFonts w:ascii="Arial" w:hAnsi="Arial" w:cs="Arial"/>
          <w:color w:val="000000"/>
          <w:spacing w:val="-3"/>
        </w:rPr>
        <w:t>Continuing Review of Protocol &amp; Site-Institution                      </w:t>
      </w:r>
      <w:r>
        <w:rPr>
          <w:rFonts w:ascii="Arial" w:hAnsi="Arial" w:cs="Arial"/>
          <w:color w:val="000000"/>
          <w:spacing w:val="-3"/>
        </w:rPr>
        <w:tab/>
      </w:r>
      <w:r>
        <w:rPr>
          <w:rFonts w:ascii="Arial" w:hAnsi="Arial" w:cs="Arial"/>
          <w:color w:val="000000"/>
          <w:spacing w:val="-3"/>
        </w:rPr>
        <w:tab/>
        <w:t>$________________ </w:t>
      </w:r>
    </w:p>
    <w:p w:rsidR="00C61564" w:rsidRDefault="00C61564" w:rsidP="00C61564">
      <w:pPr>
        <w:ind w:left="720"/>
        <w:jc w:val="left"/>
      </w:pPr>
    </w:p>
    <w:p w:rsidR="00C61564" w:rsidRDefault="00C61564" w:rsidP="00C61564">
      <w:pPr>
        <w:ind w:left="720"/>
        <w:jc w:val="left"/>
      </w:pPr>
      <w:r>
        <w:rPr>
          <w:rFonts w:ascii="Arial" w:hAnsi="Arial" w:cs="Arial"/>
          <w:color w:val="000000"/>
          <w:spacing w:val="-3"/>
        </w:rPr>
        <w:t>Modification/ update Review (per document per site)</w:t>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p>
    <w:p w:rsidR="00BA6D8F" w:rsidRPr="00BA6D8F" w:rsidRDefault="00C61564" w:rsidP="00BA6D8F">
      <w:pPr>
        <w:pStyle w:val="ListParagraph"/>
        <w:numPr>
          <w:ilvl w:val="0"/>
          <w:numId w:val="14"/>
        </w:numPr>
        <w:ind w:left="1260"/>
        <w:contextualSpacing/>
        <w:jc w:val="left"/>
      </w:pPr>
      <w:r>
        <w:rPr>
          <w:rFonts w:ascii="Arial" w:hAnsi="Arial" w:cs="Arial"/>
          <w:color w:val="000000"/>
          <w:spacing w:val="-3"/>
        </w:rPr>
        <w:t>Protocol Amendment</w:t>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t>$_________________</w:t>
      </w:r>
    </w:p>
    <w:p w:rsidR="00BA6D8F" w:rsidRDefault="00BA6D8F" w:rsidP="00BA6D8F">
      <w:pPr>
        <w:pStyle w:val="ListParagraph"/>
        <w:ind w:left="1440"/>
        <w:contextualSpacing/>
        <w:jc w:val="left"/>
      </w:pPr>
    </w:p>
    <w:p w:rsidR="00BA6D8F" w:rsidRPr="00BA6D8F" w:rsidRDefault="00C61564" w:rsidP="00BA6D8F">
      <w:pPr>
        <w:pStyle w:val="ListParagraph"/>
        <w:numPr>
          <w:ilvl w:val="0"/>
          <w:numId w:val="14"/>
        </w:numPr>
        <w:ind w:left="1260"/>
        <w:contextualSpacing/>
        <w:jc w:val="left"/>
      </w:pPr>
      <w:r>
        <w:rPr>
          <w:rFonts w:ascii="Arial" w:hAnsi="Arial" w:cs="Arial"/>
          <w:color w:val="000000"/>
          <w:spacing w:val="-3"/>
        </w:rPr>
        <w:t>Product Information Update</w:t>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t>$_________________</w:t>
      </w:r>
    </w:p>
    <w:p w:rsidR="00BA6D8F" w:rsidRDefault="00BA6D8F" w:rsidP="00BA6D8F">
      <w:pPr>
        <w:pStyle w:val="ListParagraph"/>
        <w:ind w:left="1440"/>
        <w:contextualSpacing/>
        <w:jc w:val="left"/>
      </w:pPr>
    </w:p>
    <w:p w:rsidR="00BA6D8F" w:rsidRPr="00BA6D8F" w:rsidRDefault="00C61564" w:rsidP="00BA6D8F">
      <w:pPr>
        <w:pStyle w:val="ListParagraph"/>
        <w:numPr>
          <w:ilvl w:val="0"/>
          <w:numId w:val="14"/>
        </w:numPr>
        <w:ind w:left="1260"/>
        <w:contextualSpacing/>
        <w:jc w:val="left"/>
      </w:pPr>
      <w:r>
        <w:rPr>
          <w:rFonts w:ascii="Arial" w:hAnsi="Arial" w:cs="Arial"/>
          <w:color w:val="000000"/>
          <w:spacing w:val="-3"/>
        </w:rPr>
        <w:t>Information Consent Revision</w:t>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t>$_________________</w:t>
      </w:r>
    </w:p>
    <w:p w:rsidR="00BA6D8F" w:rsidRDefault="00BA6D8F" w:rsidP="00BA6D8F">
      <w:pPr>
        <w:pStyle w:val="ListParagraph"/>
        <w:ind w:left="1440"/>
        <w:contextualSpacing/>
        <w:jc w:val="left"/>
      </w:pPr>
    </w:p>
    <w:p w:rsidR="00BA6D8F" w:rsidRPr="00BA6D8F" w:rsidRDefault="00C61564" w:rsidP="00BA6D8F">
      <w:pPr>
        <w:pStyle w:val="ListParagraph"/>
        <w:numPr>
          <w:ilvl w:val="0"/>
          <w:numId w:val="14"/>
        </w:numPr>
        <w:ind w:left="1260"/>
        <w:contextualSpacing/>
        <w:jc w:val="left"/>
      </w:pPr>
      <w:r>
        <w:rPr>
          <w:rFonts w:ascii="Arial" w:hAnsi="Arial" w:cs="Arial"/>
          <w:color w:val="000000"/>
          <w:spacing w:val="-3"/>
        </w:rPr>
        <w:t>Additional Informed Consent</w:t>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t>$_________________</w:t>
      </w:r>
    </w:p>
    <w:p w:rsidR="00BA6D8F" w:rsidRDefault="00BA6D8F" w:rsidP="00BA6D8F">
      <w:pPr>
        <w:pStyle w:val="ListParagraph"/>
        <w:ind w:left="1440"/>
        <w:contextualSpacing/>
        <w:jc w:val="left"/>
      </w:pPr>
    </w:p>
    <w:p w:rsidR="00BA6D8F" w:rsidRDefault="00C61564" w:rsidP="00BA6D8F">
      <w:pPr>
        <w:pStyle w:val="ListParagraph"/>
        <w:numPr>
          <w:ilvl w:val="0"/>
          <w:numId w:val="14"/>
        </w:numPr>
        <w:ind w:left="1260"/>
        <w:contextualSpacing/>
        <w:jc w:val="left"/>
      </w:pPr>
      <w:r>
        <w:rPr>
          <w:rFonts w:ascii="Arial" w:hAnsi="Arial" w:cs="Arial"/>
          <w:color w:val="000000"/>
          <w:spacing w:val="-3"/>
        </w:rPr>
        <w:t>Subject Material</w:t>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r>
      <w:r w:rsidR="00B6612D">
        <w:rPr>
          <w:rFonts w:ascii="Arial" w:hAnsi="Arial" w:cs="Arial"/>
          <w:color w:val="000000"/>
          <w:spacing w:val="-3"/>
        </w:rPr>
        <w:tab/>
      </w:r>
      <w:r w:rsidR="00BA6D8F">
        <w:rPr>
          <w:rFonts w:ascii="Arial" w:hAnsi="Arial" w:cs="Arial"/>
          <w:color w:val="000000"/>
          <w:spacing w:val="-3"/>
        </w:rPr>
        <w:t>$_________________</w:t>
      </w:r>
    </w:p>
    <w:p w:rsidR="00C61564" w:rsidRDefault="00C61564" w:rsidP="00BA6D8F">
      <w:pPr>
        <w:pStyle w:val="ListParagraph"/>
        <w:ind w:left="1440"/>
        <w:contextualSpacing/>
        <w:jc w:val="left"/>
      </w:pPr>
    </w:p>
    <w:p w:rsidR="00C61564" w:rsidRDefault="00C61564" w:rsidP="00C61564">
      <w:pPr>
        <w:ind w:left="720"/>
        <w:jc w:val="left"/>
      </w:pPr>
      <w:r>
        <w:rPr>
          <w:rFonts w:ascii="Arial" w:hAnsi="Arial" w:cs="Arial"/>
          <w:color w:val="000000"/>
          <w:spacing w:val="-3"/>
        </w:rPr>
        <w:t> </w:t>
      </w:r>
    </w:p>
    <w:p w:rsidR="00C61564" w:rsidRDefault="00C61564" w:rsidP="00C61564">
      <w:pPr>
        <w:ind w:left="720"/>
        <w:jc w:val="left"/>
        <w:rPr>
          <w:rFonts w:ascii="Arial" w:hAnsi="Arial" w:cs="Arial"/>
          <w:color w:val="000000"/>
          <w:spacing w:val="-3"/>
        </w:rPr>
      </w:pPr>
      <w:r>
        <w:rPr>
          <w:rFonts w:ascii="Arial" w:hAnsi="Arial" w:cs="Arial"/>
          <w:color w:val="000000"/>
          <w:spacing w:val="-3"/>
        </w:rPr>
        <w:t>Recruitment Materials</w:t>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p>
    <w:p w:rsidR="00BA6D8F" w:rsidRDefault="00C61564" w:rsidP="00BA6D8F">
      <w:pPr>
        <w:pStyle w:val="ListParagraph"/>
        <w:numPr>
          <w:ilvl w:val="0"/>
          <w:numId w:val="14"/>
        </w:numPr>
        <w:ind w:left="1260"/>
        <w:contextualSpacing/>
        <w:jc w:val="left"/>
      </w:pPr>
      <w:r>
        <w:rPr>
          <w:rFonts w:ascii="Arial" w:hAnsi="Arial" w:cs="Arial"/>
          <w:color w:val="000000"/>
          <w:spacing w:val="-3"/>
        </w:rPr>
        <w:t>Review of Recruitment Materials (per item)</w:t>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t>$_________________</w:t>
      </w:r>
    </w:p>
    <w:p w:rsidR="00C61564" w:rsidRDefault="00C61564" w:rsidP="00BA6D8F">
      <w:pPr>
        <w:ind w:left="1440"/>
        <w:jc w:val="left"/>
      </w:pPr>
    </w:p>
    <w:p w:rsidR="00C61564" w:rsidRDefault="00C61564" w:rsidP="00C61564">
      <w:pPr>
        <w:ind w:left="720"/>
        <w:jc w:val="left"/>
      </w:pPr>
      <w:r>
        <w:rPr>
          <w:rFonts w:ascii="Arial" w:hAnsi="Arial" w:cs="Arial"/>
          <w:color w:val="000000"/>
          <w:spacing w:val="-3"/>
        </w:rPr>
        <w:t> </w:t>
      </w:r>
    </w:p>
    <w:p w:rsidR="00C61564" w:rsidRPr="00BA6D8F" w:rsidRDefault="00C61564" w:rsidP="00C61564">
      <w:pPr>
        <w:ind w:left="3600" w:hanging="2880"/>
        <w:jc w:val="left"/>
        <w:rPr>
          <w:b/>
        </w:rPr>
      </w:pPr>
      <w:r w:rsidRPr="00BA6D8F">
        <w:rPr>
          <w:rFonts w:ascii="Arial" w:hAnsi="Arial" w:cs="Arial"/>
          <w:b/>
          <w:color w:val="000000"/>
          <w:spacing w:val="-3"/>
        </w:rPr>
        <w:t>Translation</w:t>
      </w:r>
      <w:r w:rsidR="00BA6D8F">
        <w:rPr>
          <w:rFonts w:ascii="Arial" w:hAnsi="Arial" w:cs="Arial"/>
          <w:b/>
          <w:color w:val="000000"/>
          <w:spacing w:val="-3"/>
        </w:rPr>
        <w:t>:</w:t>
      </w:r>
    </w:p>
    <w:p w:rsidR="00C61564" w:rsidRDefault="00C61564" w:rsidP="00C61564">
      <w:pPr>
        <w:ind w:left="720"/>
        <w:jc w:val="left"/>
      </w:pPr>
      <w:r>
        <w:rPr>
          <w:rFonts w:ascii="Arial" w:hAnsi="Arial" w:cs="Arial"/>
          <w:color w:val="000000"/>
          <w:spacing w:val="-3"/>
        </w:rPr>
        <w:t> </w:t>
      </w:r>
    </w:p>
    <w:p w:rsidR="00C61564" w:rsidRDefault="00C61564" w:rsidP="00C61564">
      <w:pPr>
        <w:ind w:left="720"/>
        <w:jc w:val="left"/>
      </w:pPr>
      <w:r>
        <w:rPr>
          <w:rFonts w:ascii="Arial" w:hAnsi="Arial" w:cs="Arial"/>
          <w:color w:val="000000"/>
          <w:spacing w:val="-3"/>
        </w:rPr>
        <w:t>Release of translation document</w:t>
      </w:r>
    </w:p>
    <w:p w:rsidR="00C61564" w:rsidRPr="00BA6D8F" w:rsidRDefault="00C61564" w:rsidP="00BA6D8F">
      <w:pPr>
        <w:pStyle w:val="ListParagraph"/>
        <w:numPr>
          <w:ilvl w:val="0"/>
          <w:numId w:val="14"/>
        </w:numPr>
        <w:ind w:left="1260"/>
        <w:contextualSpacing/>
        <w:jc w:val="left"/>
      </w:pPr>
      <w:r>
        <w:rPr>
          <w:rFonts w:ascii="Arial" w:hAnsi="Arial" w:cs="Arial"/>
          <w:color w:val="000000"/>
          <w:spacing w:val="-3"/>
        </w:rPr>
        <w:t>Informed Consent (per document per site)</w:t>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t>$_________________</w:t>
      </w:r>
    </w:p>
    <w:p w:rsidR="00BA6D8F" w:rsidRDefault="00BA6D8F" w:rsidP="00BA6D8F">
      <w:pPr>
        <w:pStyle w:val="ListParagraph"/>
        <w:ind w:left="1440"/>
        <w:contextualSpacing/>
        <w:jc w:val="left"/>
      </w:pPr>
    </w:p>
    <w:p w:rsidR="00BA6D8F" w:rsidRDefault="00C61564" w:rsidP="00BA6D8F">
      <w:pPr>
        <w:pStyle w:val="ListParagraph"/>
        <w:numPr>
          <w:ilvl w:val="0"/>
          <w:numId w:val="14"/>
        </w:numPr>
        <w:ind w:left="1260"/>
        <w:contextualSpacing/>
        <w:jc w:val="left"/>
      </w:pPr>
      <w:r>
        <w:rPr>
          <w:rFonts w:ascii="Arial" w:hAnsi="Arial" w:cs="Arial"/>
          <w:color w:val="000000"/>
          <w:spacing w:val="-3"/>
        </w:rPr>
        <w:t>Recruitment/ Subject Material (per submission per site)</w:t>
      </w:r>
      <w:r w:rsidR="00B6612D">
        <w:rPr>
          <w:rFonts w:ascii="Arial" w:hAnsi="Arial" w:cs="Arial"/>
          <w:color w:val="000000"/>
          <w:spacing w:val="-3"/>
        </w:rPr>
        <w:tab/>
      </w:r>
      <w:r w:rsidR="00BA6D8F">
        <w:rPr>
          <w:rFonts w:ascii="Arial" w:hAnsi="Arial" w:cs="Arial"/>
          <w:color w:val="000000"/>
          <w:spacing w:val="-3"/>
        </w:rPr>
        <w:tab/>
        <w:t>$_________________</w:t>
      </w:r>
    </w:p>
    <w:p w:rsidR="00C61564" w:rsidRDefault="00C61564" w:rsidP="00BA6D8F">
      <w:pPr>
        <w:pStyle w:val="ListParagraph"/>
        <w:ind w:left="1440"/>
        <w:contextualSpacing/>
        <w:jc w:val="left"/>
      </w:pPr>
    </w:p>
    <w:p w:rsidR="00C61564" w:rsidRDefault="00C61564" w:rsidP="00C61564">
      <w:pPr>
        <w:ind w:left="720"/>
        <w:jc w:val="left"/>
      </w:pPr>
      <w:r>
        <w:rPr>
          <w:rFonts w:ascii="Arial" w:hAnsi="Arial" w:cs="Arial"/>
          <w:color w:val="000000"/>
          <w:spacing w:val="-3"/>
        </w:rPr>
        <w:lastRenderedPageBreak/>
        <w:t> </w:t>
      </w:r>
    </w:p>
    <w:p w:rsidR="00C61564" w:rsidRDefault="00C61564" w:rsidP="00C61564">
      <w:pPr>
        <w:ind w:left="720"/>
        <w:jc w:val="left"/>
      </w:pPr>
      <w:r>
        <w:rPr>
          <w:rFonts w:ascii="Arial" w:hAnsi="Arial" w:cs="Arial"/>
          <w:color w:val="000000"/>
          <w:spacing w:val="-3"/>
        </w:rPr>
        <w:t>Administrative Services (IRB review is not required)</w:t>
      </w:r>
    </w:p>
    <w:p w:rsidR="00BA6D8F" w:rsidRPr="00BA6D8F" w:rsidRDefault="00C61564" w:rsidP="00BA6D8F">
      <w:pPr>
        <w:pStyle w:val="ListParagraph"/>
        <w:numPr>
          <w:ilvl w:val="0"/>
          <w:numId w:val="14"/>
        </w:numPr>
        <w:ind w:left="1260"/>
        <w:contextualSpacing/>
        <w:jc w:val="left"/>
      </w:pPr>
      <w:r>
        <w:rPr>
          <w:rFonts w:ascii="Arial" w:hAnsi="Arial" w:cs="Arial"/>
          <w:color w:val="000000"/>
          <w:spacing w:val="-3"/>
        </w:rPr>
        <w:t>Informed Consent (per document per site)</w:t>
      </w:r>
      <w:r w:rsidR="00BA6D8F">
        <w:rPr>
          <w:rFonts w:ascii="Arial" w:hAnsi="Arial" w:cs="Arial"/>
          <w:color w:val="000000"/>
          <w:spacing w:val="-3"/>
        </w:rPr>
        <w:tab/>
      </w:r>
      <w:r w:rsidR="00BA6D8F">
        <w:rPr>
          <w:rFonts w:ascii="Arial" w:hAnsi="Arial" w:cs="Arial"/>
          <w:color w:val="000000"/>
          <w:spacing w:val="-3"/>
        </w:rPr>
        <w:tab/>
      </w:r>
      <w:r w:rsidR="00BA6D8F">
        <w:rPr>
          <w:rFonts w:ascii="Arial" w:hAnsi="Arial" w:cs="Arial"/>
          <w:color w:val="000000"/>
          <w:spacing w:val="-3"/>
        </w:rPr>
        <w:tab/>
        <w:t>$_________________</w:t>
      </w:r>
    </w:p>
    <w:p w:rsidR="00BA6D8F" w:rsidRDefault="00BA6D8F" w:rsidP="00BA6D8F">
      <w:pPr>
        <w:pStyle w:val="ListParagraph"/>
        <w:ind w:left="1440"/>
        <w:contextualSpacing/>
        <w:jc w:val="left"/>
      </w:pPr>
    </w:p>
    <w:p w:rsidR="00BA6D8F" w:rsidRDefault="00C61564" w:rsidP="00BA6D8F">
      <w:pPr>
        <w:pStyle w:val="ListParagraph"/>
        <w:numPr>
          <w:ilvl w:val="0"/>
          <w:numId w:val="14"/>
        </w:numPr>
        <w:ind w:left="1260"/>
        <w:contextualSpacing/>
        <w:jc w:val="left"/>
      </w:pPr>
      <w:r>
        <w:rPr>
          <w:rFonts w:ascii="Arial" w:hAnsi="Arial" w:cs="Arial"/>
          <w:color w:val="000000"/>
          <w:spacing w:val="-3"/>
        </w:rPr>
        <w:t>Administrative change memo’s (per document per site)</w:t>
      </w:r>
      <w:r w:rsidR="00BA6D8F">
        <w:rPr>
          <w:rFonts w:ascii="Arial" w:hAnsi="Arial" w:cs="Arial"/>
          <w:color w:val="000000"/>
          <w:spacing w:val="-3"/>
        </w:rPr>
        <w:tab/>
      </w:r>
      <w:r w:rsidR="00BA6D8F">
        <w:rPr>
          <w:rFonts w:ascii="Arial" w:hAnsi="Arial" w:cs="Arial"/>
          <w:color w:val="000000"/>
          <w:spacing w:val="-3"/>
        </w:rPr>
        <w:tab/>
        <w:t>$_________________</w:t>
      </w:r>
    </w:p>
    <w:p w:rsidR="00C61564" w:rsidRDefault="00C61564" w:rsidP="00BA6D8F">
      <w:pPr>
        <w:pStyle w:val="ListParagraph"/>
        <w:ind w:left="1440"/>
        <w:contextualSpacing/>
        <w:jc w:val="left"/>
      </w:pPr>
    </w:p>
    <w:p w:rsidR="00BA6D8F" w:rsidRPr="00BA6D8F" w:rsidRDefault="00C61564" w:rsidP="00BA6D8F">
      <w:pPr>
        <w:pStyle w:val="ListParagraph"/>
        <w:numPr>
          <w:ilvl w:val="0"/>
          <w:numId w:val="14"/>
        </w:numPr>
        <w:ind w:left="1260"/>
        <w:contextualSpacing/>
        <w:jc w:val="left"/>
      </w:pPr>
      <w:r>
        <w:rPr>
          <w:rFonts w:ascii="Arial" w:hAnsi="Arial" w:cs="Arial"/>
          <w:color w:val="000000"/>
          <w:spacing w:val="-3"/>
        </w:rPr>
        <w:t>Final Format of recruitment material (per submission per site)</w:t>
      </w:r>
      <w:r w:rsidR="00BA6D8F" w:rsidRPr="00BA6D8F">
        <w:rPr>
          <w:rFonts w:ascii="Arial" w:hAnsi="Arial" w:cs="Arial"/>
          <w:color w:val="000000"/>
          <w:spacing w:val="-3"/>
        </w:rPr>
        <w:t xml:space="preserve"> </w:t>
      </w:r>
      <w:r w:rsidR="00BA6D8F">
        <w:rPr>
          <w:rFonts w:ascii="Arial" w:hAnsi="Arial" w:cs="Arial"/>
          <w:color w:val="000000"/>
          <w:spacing w:val="-3"/>
        </w:rPr>
        <w:tab/>
        <w:t>$_________________</w:t>
      </w:r>
    </w:p>
    <w:p w:rsidR="00BA6D8F" w:rsidRDefault="00BA6D8F" w:rsidP="00BA6D8F">
      <w:pPr>
        <w:pStyle w:val="ListParagraph"/>
        <w:rPr>
          <w:rFonts w:ascii="Arial" w:hAnsi="Arial" w:cs="Arial"/>
          <w:color w:val="000000"/>
          <w:spacing w:val="-3"/>
        </w:rPr>
      </w:pPr>
    </w:p>
    <w:p w:rsidR="00C61564" w:rsidRDefault="00C61564" w:rsidP="00BA6D8F">
      <w:pPr>
        <w:pStyle w:val="ListParagraph"/>
        <w:ind w:left="1440"/>
        <w:contextualSpacing/>
        <w:jc w:val="left"/>
      </w:pPr>
      <w:r>
        <w:rPr>
          <w:rFonts w:ascii="Arial" w:hAnsi="Arial" w:cs="Arial"/>
          <w:color w:val="000000"/>
          <w:spacing w:val="-3"/>
        </w:rPr>
        <w:t> </w:t>
      </w:r>
    </w:p>
    <w:p w:rsidR="00FE3E73" w:rsidRDefault="00C61564" w:rsidP="00FE3E73">
      <w:pPr>
        <w:pStyle w:val="ListParagraph"/>
        <w:contextualSpacing/>
        <w:jc w:val="left"/>
      </w:pPr>
      <w:r>
        <w:rPr>
          <w:rFonts w:ascii="Arial" w:hAnsi="Arial" w:cs="Arial"/>
          <w:color w:val="000000"/>
          <w:spacing w:val="-3"/>
        </w:rPr>
        <w:t>Site Closeout (per site)</w:t>
      </w:r>
      <w:r w:rsidR="00FE3E73">
        <w:rPr>
          <w:rFonts w:ascii="Arial" w:hAnsi="Arial" w:cs="Arial"/>
          <w:color w:val="000000"/>
          <w:spacing w:val="-3"/>
        </w:rPr>
        <w:tab/>
      </w:r>
      <w:r w:rsidR="00FE3E73">
        <w:rPr>
          <w:rFonts w:ascii="Arial" w:hAnsi="Arial" w:cs="Arial"/>
          <w:color w:val="000000"/>
          <w:spacing w:val="-3"/>
        </w:rPr>
        <w:tab/>
      </w:r>
      <w:r w:rsidR="00FE3E73">
        <w:rPr>
          <w:rFonts w:ascii="Arial" w:hAnsi="Arial" w:cs="Arial"/>
          <w:color w:val="000000"/>
          <w:spacing w:val="-3"/>
        </w:rPr>
        <w:tab/>
      </w:r>
      <w:r w:rsidR="00FE3E73">
        <w:rPr>
          <w:rFonts w:ascii="Arial" w:hAnsi="Arial" w:cs="Arial"/>
          <w:color w:val="000000"/>
          <w:spacing w:val="-3"/>
        </w:rPr>
        <w:tab/>
      </w:r>
      <w:r w:rsidR="00FE3E73">
        <w:rPr>
          <w:rFonts w:ascii="Arial" w:hAnsi="Arial" w:cs="Arial"/>
          <w:color w:val="000000"/>
          <w:spacing w:val="-3"/>
        </w:rPr>
        <w:tab/>
      </w:r>
      <w:r w:rsidR="00FE3E73">
        <w:rPr>
          <w:rFonts w:ascii="Arial" w:hAnsi="Arial" w:cs="Arial"/>
          <w:color w:val="000000"/>
          <w:spacing w:val="-3"/>
        </w:rPr>
        <w:tab/>
        <w:t>$_________________</w:t>
      </w:r>
    </w:p>
    <w:p w:rsidR="00FE3E73" w:rsidRDefault="00FE3E73" w:rsidP="00C61564">
      <w:pPr>
        <w:ind w:left="720"/>
        <w:jc w:val="left"/>
      </w:pPr>
    </w:p>
    <w:p w:rsidR="00FE3E73" w:rsidRDefault="00C61564" w:rsidP="00FE3E73">
      <w:pPr>
        <w:pStyle w:val="ListParagraph"/>
        <w:contextualSpacing/>
        <w:jc w:val="left"/>
      </w:pPr>
      <w:r>
        <w:rPr>
          <w:rFonts w:ascii="Arial" w:hAnsi="Arial" w:cs="Arial"/>
          <w:color w:val="000000"/>
          <w:spacing w:val="-3"/>
        </w:rPr>
        <w:t>Additional Locations Conducting Research (per location</w:t>
      </w:r>
      <w:r w:rsidR="00FE3E73">
        <w:rPr>
          <w:rFonts w:ascii="Arial" w:hAnsi="Arial" w:cs="Arial"/>
          <w:color w:val="000000"/>
          <w:spacing w:val="-3"/>
        </w:rPr>
        <w:t>)</w:t>
      </w:r>
      <w:r w:rsidR="00FE3E73">
        <w:rPr>
          <w:rFonts w:ascii="Arial" w:hAnsi="Arial" w:cs="Arial"/>
          <w:color w:val="000000"/>
          <w:spacing w:val="-3"/>
        </w:rPr>
        <w:tab/>
      </w:r>
      <w:r w:rsidR="00FE3E73">
        <w:rPr>
          <w:rFonts w:ascii="Arial" w:hAnsi="Arial" w:cs="Arial"/>
          <w:color w:val="000000"/>
          <w:spacing w:val="-3"/>
        </w:rPr>
        <w:tab/>
        <w:t>$_________________</w:t>
      </w:r>
    </w:p>
    <w:p w:rsidR="00C61564" w:rsidRDefault="00C61564" w:rsidP="00C61564">
      <w:pPr>
        <w:ind w:left="720"/>
        <w:jc w:val="left"/>
        <w:rPr>
          <w:rFonts w:ascii="Arial" w:hAnsi="Arial" w:cs="Arial"/>
          <w:color w:val="000000"/>
          <w:spacing w:val="-3"/>
        </w:rPr>
      </w:pPr>
    </w:p>
    <w:p w:rsidR="00FE3E73" w:rsidRDefault="00C61564" w:rsidP="00FE3E73">
      <w:pPr>
        <w:pStyle w:val="ListParagraph"/>
        <w:contextualSpacing/>
        <w:jc w:val="left"/>
      </w:pPr>
      <w:r>
        <w:rPr>
          <w:rFonts w:ascii="Arial" w:hAnsi="Arial" w:cs="Arial"/>
          <w:color w:val="000000"/>
          <w:spacing w:val="-3"/>
        </w:rPr>
        <w:t xml:space="preserve">Massachusetts Investigator (Phase 1, 2 </w:t>
      </w:r>
      <w:r w:rsidR="00FE3E73">
        <w:rPr>
          <w:rFonts w:ascii="Arial" w:hAnsi="Arial" w:cs="Arial"/>
          <w:color w:val="000000"/>
          <w:spacing w:val="-3"/>
        </w:rPr>
        <w:t>&amp;</w:t>
      </w:r>
      <w:r>
        <w:rPr>
          <w:rFonts w:ascii="Arial" w:hAnsi="Arial" w:cs="Arial"/>
          <w:color w:val="000000"/>
          <w:spacing w:val="-3"/>
        </w:rPr>
        <w:t xml:space="preserve"> 3 IND Studies) (per site)</w:t>
      </w:r>
      <w:r w:rsidR="00FE3E73">
        <w:rPr>
          <w:rFonts w:ascii="Arial" w:hAnsi="Arial" w:cs="Arial"/>
          <w:color w:val="000000"/>
          <w:spacing w:val="-3"/>
        </w:rPr>
        <w:tab/>
        <w:t>$_________________</w:t>
      </w:r>
    </w:p>
    <w:p w:rsidR="00C61564" w:rsidRDefault="00C61564" w:rsidP="00C61564">
      <w:pPr>
        <w:ind w:left="720"/>
        <w:jc w:val="left"/>
        <w:rPr>
          <w:rFonts w:ascii="Arial" w:hAnsi="Arial" w:cs="Arial"/>
          <w:color w:val="000000"/>
          <w:spacing w:val="-3"/>
        </w:rPr>
      </w:pPr>
    </w:p>
    <w:p w:rsidR="00FE3E73" w:rsidRDefault="00C61564" w:rsidP="00FE3E73">
      <w:pPr>
        <w:pStyle w:val="ListParagraph"/>
        <w:contextualSpacing/>
        <w:jc w:val="left"/>
      </w:pPr>
      <w:r>
        <w:rPr>
          <w:rFonts w:ascii="Arial" w:hAnsi="Arial" w:cs="Arial"/>
          <w:color w:val="000000"/>
          <w:spacing w:val="-3"/>
        </w:rPr>
        <w:t>24/7 Access all documents via the electronic platform (CIRBI)</w:t>
      </w:r>
      <w:r w:rsidR="00FE3E73" w:rsidRPr="00FE3E73">
        <w:rPr>
          <w:rFonts w:cs="Arial"/>
          <w:color w:val="000000"/>
          <w:spacing w:val="-3"/>
        </w:rPr>
        <w:t xml:space="preserve"> </w:t>
      </w:r>
      <w:r w:rsidR="00FE3E73">
        <w:rPr>
          <w:rFonts w:cs="Arial"/>
          <w:color w:val="000000"/>
          <w:spacing w:val="-3"/>
        </w:rPr>
        <w:tab/>
      </w:r>
      <w:r w:rsidR="00FE3E73">
        <w:rPr>
          <w:rFonts w:ascii="Arial" w:hAnsi="Arial" w:cs="Arial"/>
          <w:color w:val="000000"/>
          <w:spacing w:val="-3"/>
        </w:rPr>
        <w:t>$_________________</w:t>
      </w:r>
    </w:p>
    <w:p w:rsidR="003E3579" w:rsidRDefault="003E3579" w:rsidP="00FE3E73">
      <w:pPr>
        <w:ind w:firstLine="720"/>
        <w:jc w:val="left"/>
        <w:rPr>
          <w:rFonts w:ascii="Arial" w:hAnsi="Arial" w:cs="Arial"/>
        </w:rPr>
      </w:pPr>
    </w:p>
    <w:p w:rsidR="003E3579" w:rsidRDefault="003E3579">
      <w:pPr>
        <w:rPr>
          <w:rFonts w:ascii="Arial" w:hAnsi="Arial" w:cs="Arial"/>
        </w:rPr>
      </w:pPr>
    </w:p>
    <w:p w:rsidR="003E3579" w:rsidRDefault="003E3579">
      <w:pPr>
        <w:rPr>
          <w:rFonts w:ascii="Arial" w:hAnsi="Arial" w:cs="Arial"/>
          <w:b/>
        </w:rPr>
      </w:pPr>
      <w:r>
        <w:rPr>
          <w:rFonts w:ascii="Arial" w:hAnsi="Arial" w:cs="Arial"/>
          <w:b/>
        </w:rPr>
        <w:t>6.</w:t>
      </w:r>
      <w:r w:rsidR="007D5911">
        <w:rPr>
          <w:rFonts w:ascii="Arial" w:hAnsi="Arial" w:cs="Arial"/>
          <w:b/>
        </w:rPr>
        <w:t>2</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w:t>
      </w:r>
      <w:r w:rsidR="00B6612D">
        <w:rPr>
          <w:rFonts w:ascii="Arial" w:hAnsi="Arial" w:cs="Arial"/>
        </w:rPr>
        <w:t>_____</w:t>
      </w:r>
      <w:r>
        <w:rPr>
          <w:rFonts w:ascii="Arial" w:hAnsi="Arial" w:cs="Arial"/>
        </w:rPr>
        <w:t>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sidRPr="00B6612D">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BD7D5C">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BD7D5C">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BD7D5C">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6"/>
          <w:footerReference w:type="default" r:id="rId17"/>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Proposals that (</w:t>
      </w:r>
      <w:proofErr w:type="spellStart"/>
      <w:r>
        <w:rPr>
          <w:rFonts w:ascii="Arial" w:hAnsi="Arial" w:cs="Arial"/>
          <w:sz w:val="16"/>
        </w:rPr>
        <w:t>i</w:t>
      </w:r>
      <w:proofErr w:type="spellEnd"/>
      <w:r>
        <w:rPr>
          <w:rFonts w:ascii="Arial" w:hAnsi="Arial" w:cs="Arial"/>
          <w:sz w:val="16"/>
        </w:rPr>
        <w:t xml:space="preserve">)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18"/>
          <w:footerReference w:type="default" r:id="rId19"/>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Proposer understands (</w:t>
      </w:r>
      <w:proofErr w:type="spellStart"/>
      <w:r>
        <w:rPr>
          <w:rFonts w:ascii="Arial" w:hAnsi="Arial" w:cs="Arial"/>
          <w:sz w:val="16"/>
        </w:rPr>
        <w:t>i</w:t>
      </w:r>
      <w:proofErr w:type="spellEnd"/>
      <w:r>
        <w:rPr>
          <w:rFonts w:ascii="Arial" w:hAnsi="Arial" w:cs="Arial"/>
          <w:sz w:val="16"/>
        </w:rPr>
        <w:t xml:space="preserve">)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w:t>
      </w:r>
      <w:proofErr w:type="spellStart"/>
      <w:r>
        <w:rPr>
          <w:rFonts w:ascii="Arial" w:hAnsi="Arial" w:cs="Arial"/>
          <w:sz w:val="16"/>
        </w:rPr>
        <w:t>i</w:t>
      </w:r>
      <w:proofErr w:type="spellEnd"/>
      <w:r>
        <w:rPr>
          <w:rFonts w:ascii="Arial" w:hAnsi="Arial" w:cs="Arial"/>
          <w:sz w:val="16"/>
        </w:rPr>
        <w:t xml:space="preserve">)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w:t>
      </w:r>
      <w:r w:rsidR="00010B79">
        <w:rPr>
          <w:rFonts w:ascii="Arial" w:hAnsi="Arial" w:cs="Arial"/>
          <w:sz w:val="16"/>
        </w:rPr>
        <w:t>________</w:t>
      </w:r>
      <w:r>
        <w:rPr>
          <w:rFonts w:ascii="Arial" w:hAnsi="Arial" w:cs="Arial"/>
          <w:sz w:val="16"/>
        </w:rPr>
        <w:t>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010B79">
        <w:rPr>
          <w:rFonts w:ascii="Arial" w:hAnsi="Arial" w:cs="Arial"/>
          <w:sz w:val="16"/>
        </w:rPr>
        <w:t>744-R1507</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0"/>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1"/>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91491B"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r w:rsidR="0091491B">
        <w:rPr>
          <w:rFonts w:ascii="Arial" w:hAnsi="Arial" w:cs="Arial"/>
          <w:snapToGrid w:val="0"/>
          <w:sz w:val="16"/>
        </w:rPr>
        <w:t>+</w:t>
      </w:r>
    </w:p>
    <w:p w:rsidR="003E3579" w:rsidRDefault="0091491B">
      <w:pPr>
        <w:ind w:left="1440" w:hanging="720"/>
        <w:rPr>
          <w:rFonts w:ascii="Arial" w:hAnsi="Arial" w:cs="Arial"/>
          <w:snapToGrid w:val="0"/>
          <w:sz w:val="16"/>
        </w:rPr>
      </w:pPr>
      <w:r>
        <w:rPr>
          <w:rFonts w:ascii="Arial" w:hAnsi="Arial" w:cs="Arial"/>
          <w:snapToGrid w:val="0"/>
          <w:sz w:val="16"/>
        </w:rPr>
        <w:br w:type="page"/>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3"/>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Services related to </w:t>
      </w:r>
      <w:r w:rsidR="00F03F35">
        <w:rPr>
          <w:rFonts w:ascii="Arial" w:hAnsi="Arial" w:cs="Arial"/>
          <w:sz w:val="18"/>
        </w:rPr>
        <w:t>Commercial Institutional Review Board</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F03F35">
        <w:rPr>
          <w:rFonts w:ascii="Arial" w:hAnsi="Arial" w:cs="Arial"/>
          <w:sz w:val="18"/>
        </w:rPr>
        <w:t>744-R1507</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w:t>
      </w:r>
      <w:r w:rsidR="00F03F35">
        <w:rPr>
          <w:rFonts w:ascii="Arial" w:hAnsi="Arial" w:cs="Arial"/>
          <w:sz w:val="18"/>
        </w:rPr>
        <w:t>_____</w:t>
      </w:r>
      <w:r>
        <w:rPr>
          <w:rFonts w:ascii="Arial" w:hAnsi="Arial" w:cs="Arial"/>
          <w:sz w:val="18"/>
        </w:rPr>
        <w:t>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91491B" w:rsidRDefault="003E3579" w:rsidP="0091491B">
      <w:pPr>
        <w:ind w:left="4320" w:firstLine="720"/>
        <w:rPr>
          <w:rFonts w:ascii="Arial" w:hAnsi="Arial" w:cs="Arial"/>
          <w:sz w:val="18"/>
        </w:rPr>
        <w:sectPr w:rsidR="0091491B" w:rsidSect="001C19AA">
          <w:footerReference w:type="default" r:id="rId24"/>
          <w:type w:val="continuous"/>
          <w:pgSz w:w="12240" w:h="15840" w:code="1"/>
          <w:pgMar w:top="720" w:right="1440" w:bottom="900" w:left="1440" w:header="576" w:footer="576" w:gutter="0"/>
          <w:cols w:space="720"/>
          <w:docGrid w:linePitch="360"/>
        </w:sectPr>
      </w:pPr>
      <w:r>
        <w:rPr>
          <w:rFonts w:ascii="Arial" w:hAnsi="Arial" w:cs="Arial"/>
          <w:b/>
          <w:bCs/>
          <w:sz w:val="18"/>
        </w:rPr>
        <w:t>Date:</w:t>
      </w:r>
      <w:r>
        <w:rPr>
          <w:rFonts w:ascii="Arial" w:hAnsi="Arial" w:cs="Arial"/>
          <w:sz w:val="18"/>
        </w:rPr>
        <w:t>  ____</w:t>
      </w:r>
      <w:r w:rsidR="00F03F35">
        <w:rPr>
          <w:rFonts w:ascii="Arial" w:hAnsi="Arial" w:cs="Arial"/>
          <w:sz w:val="18"/>
        </w:rPr>
        <w:t>_____</w:t>
      </w:r>
      <w:r>
        <w:rPr>
          <w:rFonts w:ascii="Arial" w:hAnsi="Arial" w:cs="Arial"/>
          <w:sz w:val="18"/>
        </w:rPr>
        <w:t>_________________</w:t>
      </w:r>
    </w:p>
    <w:p w:rsidR="003E3579" w:rsidRPr="001C19AA" w:rsidRDefault="001C19AA" w:rsidP="0091491B">
      <w:pPr>
        <w:jc w:val="center"/>
        <w:rPr>
          <w:b/>
        </w:rPr>
      </w:pPr>
      <w:r>
        <w:rPr>
          <w:rFonts w:ascii="Arial" w:hAnsi="Arial" w:cs="Arial"/>
          <w:sz w:val="18"/>
        </w:rPr>
        <w:lastRenderedPageBreak/>
        <w:br w:type="page"/>
      </w:r>
      <w:r w:rsidR="003E3579" w:rsidRPr="001C19AA">
        <w:rPr>
          <w:b/>
        </w:rPr>
        <w:lastRenderedPageBreak/>
        <w:t>APPENDIX FIVE</w:t>
      </w:r>
    </w:p>
    <w:p w:rsidR="003E3579" w:rsidRDefault="003E3579">
      <w:pPr>
        <w:pStyle w:val="Heading9"/>
        <w:jc w:val="center"/>
        <w:rPr>
          <w:rFonts w:ascii="Arial" w:hAnsi="Arial"/>
        </w:rPr>
      </w:pPr>
    </w:p>
    <w:p w:rsidR="00A72024" w:rsidRPr="00340CF9" w:rsidRDefault="00A72024" w:rsidP="00A72024">
      <w:pPr>
        <w:jc w:val="center"/>
        <w:rPr>
          <w:rFonts w:ascii="Arial" w:hAnsi="Arial" w:cs="Arial"/>
          <w:b/>
          <w:bCs/>
        </w:rPr>
      </w:pPr>
      <w:r w:rsidRPr="00340CF9">
        <w:rPr>
          <w:rFonts w:ascii="Arial" w:hAnsi="Arial" w:cs="Arial"/>
          <w:b/>
          <w:bCs/>
        </w:rPr>
        <w:t>ACCESS BY INDIVIDUALS WITH DISABILITIES</w:t>
      </w:r>
    </w:p>
    <w:p w:rsidR="003E3579" w:rsidRDefault="003E3579">
      <w:pPr>
        <w:keepNext/>
        <w:keepLines/>
        <w:rPr>
          <w:rFonts w:ascii="Arial" w:hAnsi="Arial" w:cs="Arial"/>
          <w:b/>
          <w:bCs/>
        </w:rPr>
      </w:pPr>
    </w:p>
    <w:p w:rsidR="003E3579" w:rsidRDefault="003E3579">
      <w:pPr>
        <w:rPr>
          <w:rFonts w:ascii="Arial" w:hAnsi="Arial" w:cs="Arial"/>
        </w:rPr>
      </w:pPr>
    </w:p>
    <w:p w:rsidR="0091491B" w:rsidRDefault="00A72024" w:rsidP="0091491B">
      <w:pPr>
        <w:rPr>
          <w:rFonts w:ascii="Arial" w:hAnsi="Arial" w:cs="Arial"/>
          <w:bCs/>
        </w:rPr>
        <w:sectPr w:rsidR="0091491B" w:rsidSect="00897803">
          <w:type w:val="continuous"/>
          <w:pgSz w:w="12240" w:h="15840" w:code="1"/>
          <w:pgMar w:top="720" w:right="1440" w:bottom="900" w:left="1440" w:header="576" w:footer="576" w:gutter="0"/>
          <w:pgNumType w:start="0"/>
          <w:cols w:space="720"/>
          <w:docGrid w:linePitch="360"/>
        </w:sectPr>
      </w:pPr>
      <w:r w:rsidRPr="00963130">
        <w:rPr>
          <w:rFonts w:ascii="Arial" w:hAnsi="Arial" w:cs="Arial"/>
          <w:b/>
          <w:bCs/>
        </w:rPr>
        <w:t>Access by Individuals with Disabilities.</w:t>
      </w:r>
      <w:r w:rsidR="00B2176F">
        <w:rPr>
          <w:rFonts w:ascii="Arial" w:hAnsi="Arial" w:cs="Arial"/>
          <w:b/>
          <w:bCs/>
        </w:rPr>
        <w:t xml:space="preserve"> </w:t>
      </w:r>
      <w:r w:rsidRPr="00963130">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Pr>
          <w:rFonts w:ascii="Arial" w:hAnsi="Arial" w:cs="Arial"/>
          <w:bCs/>
        </w:rPr>
        <w:t>University</w:t>
      </w:r>
      <w:r w:rsidRPr="00963130">
        <w:rPr>
          <w:rFonts w:ascii="Arial" w:hAnsi="Arial" w:cs="Arial"/>
          <w:bCs/>
        </w:rPr>
        <w:t xml:space="preserve"> under this Agreement (collectively, the “EIRs”) comply with the applicable requirements set forth in Title 1, Chapter 213</w:t>
      </w:r>
      <w:r w:rsidR="00FF0030">
        <w:rPr>
          <w:rFonts w:ascii="Arial" w:hAnsi="Arial" w:cs="Arial"/>
          <w:bCs/>
        </w:rPr>
        <w:t xml:space="preserve">, </w:t>
      </w:r>
      <w:r w:rsidR="00FF0030" w:rsidRPr="00FF0030">
        <w:rPr>
          <w:rFonts w:ascii="Arial" w:hAnsi="Arial" w:cs="Arial"/>
          <w:bCs/>
          <w:i/>
        </w:rPr>
        <w:t>Te</w:t>
      </w:r>
      <w:r w:rsidRPr="00FF0030">
        <w:rPr>
          <w:rFonts w:ascii="Arial" w:hAnsi="Arial" w:cs="Arial"/>
          <w:bCs/>
          <w:i/>
        </w:rPr>
        <w:t>x</w:t>
      </w:r>
      <w:r w:rsidRPr="00963130">
        <w:rPr>
          <w:rFonts w:ascii="Arial" w:hAnsi="Arial" w:cs="Arial"/>
          <w:bCs/>
          <w:i/>
        </w:rPr>
        <w:t>as Administrative Code</w:t>
      </w:r>
      <w:r w:rsidR="00FF0030">
        <w:rPr>
          <w:rFonts w:ascii="Arial" w:hAnsi="Arial" w:cs="Arial"/>
          <w:bCs/>
          <w:i/>
        </w:rPr>
        <w:t>,</w:t>
      </w:r>
      <w:r w:rsidRPr="00963130">
        <w:rPr>
          <w:rFonts w:ascii="Arial" w:hAnsi="Arial" w:cs="Arial"/>
          <w:bCs/>
        </w:rPr>
        <w:t xml:space="preserve"> and Title 1, Chapter 206, Rule §206.70</w:t>
      </w:r>
      <w:r w:rsidR="000B06F5">
        <w:rPr>
          <w:rFonts w:ascii="Arial" w:hAnsi="Arial" w:cs="Arial"/>
          <w:bCs/>
        </w:rPr>
        <w:t>,</w:t>
      </w:r>
      <w:r w:rsidRPr="00963130">
        <w:rPr>
          <w:rFonts w:ascii="Arial" w:hAnsi="Arial" w:cs="Arial"/>
          <w:bCs/>
        </w:rPr>
        <w:t xml:space="preserve"> </w:t>
      </w:r>
      <w:r w:rsidRPr="00963130">
        <w:rPr>
          <w:rFonts w:ascii="Arial" w:hAnsi="Arial" w:cs="Arial"/>
          <w:bCs/>
          <w:i/>
        </w:rPr>
        <w:t>Texas Administrative Code</w:t>
      </w:r>
      <w:r w:rsidRPr="00963130">
        <w:rPr>
          <w:rFonts w:ascii="Arial" w:hAnsi="Arial" w:cs="Arial"/>
          <w:bCs/>
        </w:rPr>
        <w:t xml:space="preserve"> (as authorized by Chapter 2054, Subchapter M</w:t>
      </w:r>
      <w:r w:rsidR="00FF0030">
        <w:rPr>
          <w:rFonts w:ascii="Arial" w:hAnsi="Arial" w:cs="Arial"/>
          <w:bCs/>
        </w:rPr>
        <w:t>,</w:t>
      </w:r>
      <w:r w:rsidRPr="00963130">
        <w:rPr>
          <w:rFonts w:ascii="Arial" w:hAnsi="Arial" w:cs="Arial"/>
          <w:bCs/>
          <w:i/>
        </w:rPr>
        <w:t xml:space="preserve"> Government Code</w:t>
      </w:r>
      <w:r w:rsidRPr="00963130">
        <w:rPr>
          <w:rFonts w:ascii="Arial" w:hAnsi="Arial" w:cs="Arial"/>
          <w:bCs/>
        </w:rPr>
        <w:t>.)</w:t>
      </w:r>
      <w:r w:rsidR="00B2176F">
        <w:rPr>
          <w:rFonts w:ascii="Arial" w:hAnsi="Arial" w:cs="Arial"/>
          <w:bCs/>
        </w:rPr>
        <w:t xml:space="preserve"> </w:t>
      </w:r>
      <w:r w:rsidRPr="00963130">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Pr>
          <w:rFonts w:ascii="Arial" w:hAnsi="Arial" w:cs="Arial"/>
          <w:bCs/>
        </w:rPr>
        <w:t xml:space="preserve"> </w:t>
      </w:r>
      <w:r w:rsidRPr="00963130">
        <w:rPr>
          <w:rFonts w:ascii="Arial" w:hAnsi="Arial" w:cs="Arial"/>
          <w:bCs/>
        </w:rPr>
        <w:t xml:space="preserve">In the event that Contractor </w:t>
      </w:r>
      <w:r w:rsidR="008216AC">
        <w:rPr>
          <w:rFonts w:ascii="Arial" w:hAnsi="Arial" w:cs="Arial"/>
          <w:bCs/>
        </w:rPr>
        <w:t xml:space="preserve">fails or </w:t>
      </w:r>
      <w:r w:rsidRPr="00963130">
        <w:rPr>
          <w:rFonts w:ascii="Arial" w:hAnsi="Arial" w:cs="Arial"/>
          <w:bCs/>
        </w:rPr>
        <w:t xml:space="preserve">is unable to do so, then </w:t>
      </w:r>
      <w:r w:rsidR="00BA5697">
        <w:rPr>
          <w:rFonts w:ascii="Arial" w:hAnsi="Arial" w:cs="Arial"/>
          <w:bCs/>
        </w:rPr>
        <w:t>University</w:t>
      </w:r>
      <w:r w:rsidRPr="00963130">
        <w:rPr>
          <w:rFonts w:ascii="Arial" w:hAnsi="Arial" w:cs="Arial"/>
          <w:bCs/>
        </w:rPr>
        <w:t xml:space="preserve"> may terminate this Agreement and Contractor will refund to </w:t>
      </w:r>
      <w:r w:rsidR="00BA5697">
        <w:rPr>
          <w:rFonts w:ascii="Arial" w:hAnsi="Arial" w:cs="Arial"/>
          <w:bCs/>
        </w:rPr>
        <w:t>University</w:t>
      </w:r>
      <w:r w:rsidRPr="00963130">
        <w:rPr>
          <w:rFonts w:ascii="Arial" w:hAnsi="Arial" w:cs="Arial"/>
          <w:bCs/>
        </w:rPr>
        <w:t xml:space="preserve"> all amounts </w:t>
      </w:r>
      <w:r w:rsidR="00BA5697">
        <w:rPr>
          <w:rFonts w:ascii="Arial" w:hAnsi="Arial" w:cs="Arial"/>
          <w:bCs/>
        </w:rPr>
        <w:t>University</w:t>
      </w:r>
      <w:r w:rsidRPr="00963130">
        <w:rPr>
          <w:rFonts w:ascii="Arial" w:hAnsi="Arial" w:cs="Arial"/>
          <w:bCs/>
        </w:rPr>
        <w:t xml:space="preserve"> has paid under this Agreement within thirty (30) days after the termination date.</w:t>
      </w:r>
    </w:p>
    <w:p w:rsidR="00C55A09" w:rsidRPr="001F0ED1" w:rsidRDefault="001C19AA" w:rsidP="0091491B">
      <w:pPr>
        <w:jc w:val="center"/>
        <w:rPr>
          <w:rFonts w:ascii="Arial" w:hAnsi="Arial" w:cs="Arial"/>
          <w:b/>
          <w:bCs/>
          <w:szCs w:val="22"/>
        </w:rPr>
      </w:pPr>
      <w:r>
        <w:rPr>
          <w:rFonts w:ascii="Arial" w:hAnsi="Arial" w:cs="Arial"/>
          <w:bCs/>
        </w:rPr>
        <w:lastRenderedPageBreak/>
        <w:br w:type="page"/>
      </w:r>
      <w:r w:rsidR="00C55A09" w:rsidRPr="001F0ED1">
        <w:rPr>
          <w:rFonts w:ascii="Arial" w:hAnsi="Arial" w:cs="Arial"/>
          <w:b/>
          <w:bCs/>
          <w:szCs w:val="22"/>
        </w:rPr>
        <w:lastRenderedPageBreak/>
        <w:t>APPENDIX SIX</w:t>
      </w: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szCs w:val="22"/>
        </w:rPr>
      </w:pPr>
      <w:r w:rsidRPr="001F0ED1">
        <w:rPr>
          <w:rFonts w:ascii="Arial" w:hAnsi="Arial" w:cs="Arial"/>
          <w:b/>
          <w:bCs/>
          <w:szCs w:val="22"/>
        </w:rPr>
        <w:t>ELECTRONIC AND INFORMATION RESOURCE</w:t>
      </w:r>
      <w:r w:rsidR="006A6E4D">
        <w:rPr>
          <w:rFonts w:ascii="Arial" w:hAnsi="Arial" w:cs="Arial"/>
          <w:b/>
          <w:bCs/>
          <w:szCs w:val="22"/>
        </w:rPr>
        <w:t>S</w:t>
      </w:r>
      <w:r w:rsidRPr="001F0ED1">
        <w:rPr>
          <w:rFonts w:ascii="Arial" w:hAnsi="Arial" w:cs="Arial"/>
          <w:b/>
          <w:bCs/>
          <w:szCs w:val="22"/>
        </w:rPr>
        <w:t xml:space="preserve"> ENVIRONMENT SPECIFICATIONS</w:t>
      </w:r>
    </w:p>
    <w:p w:rsidR="00C55A09" w:rsidRPr="001F0ED1" w:rsidRDefault="00C55A09" w:rsidP="001F0ED1">
      <w:pPr>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1F0ED1">
        <w:rPr>
          <w:rFonts w:ascii="Arial" w:hAnsi="Arial" w:cs="Arial"/>
          <w:szCs w:val="22"/>
        </w:rPr>
        <w:t xml:space="preserve">The specifications, representations, warranties and agreements set forth in Proposer’s responses to this </w:t>
      </w:r>
      <w:r w:rsidRPr="001F0ED1">
        <w:rPr>
          <w:rFonts w:ascii="Arial" w:hAnsi="Arial" w:cs="Arial"/>
          <w:b/>
          <w:szCs w:val="22"/>
        </w:rPr>
        <w:t>APPENDIX SIX</w:t>
      </w:r>
      <w:r w:rsidRPr="001F0ED1">
        <w:rPr>
          <w:rFonts w:ascii="Arial" w:hAnsi="Arial" w:cs="Arial"/>
          <w:szCs w:val="22"/>
        </w:rPr>
        <w:t xml:space="preserve"> will be incorporated into the Agreement.</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rPr>
          <w:rFonts w:ascii="Arial" w:hAnsi="Arial" w:cs="Arial"/>
          <w:szCs w:val="22"/>
        </w:rPr>
      </w:pPr>
      <w:r w:rsidRPr="001F0ED1">
        <w:rPr>
          <w:rFonts w:ascii="Arial" w:hAnsi="Arial" w:cs="Arial"/>
          <w:szCs w:val="22"/>
        </w:rPr>
        <w:t xml:space="preserve">University is primarily a </w:t>
      </w:r>
      <w:r w:rsidRPr="00F03F35">
        <w:rPr>
          <w:rFonts w:ascii="Arial" w:hAnsi="Arial" w:cs="Arial"/>
          <w:szCs w:val="22"/>
        </w:rPr>
        <w:t>Microsoft products</w:t>
      </w:r>
      <w:r w:rsidRPr="001F0ED1">
        <w:rPr>
          <w:rFonts w:ascii="Arial" w:hAnsi="Arial" w:cs="Arial"/>
          <w:szCs w:val="22"/>
        </w:rPr>
        <w:t xml:space="preserve"> environment.</w:t>
      </w:r>
    </w:p>
    <w:p w:rsidR="00C55A09" w:rsidRPr="001F0ED1" w:rsidRDefault="00C55A09" w:rsidP="001F0ED1">
      <w:pPr>
        <w:rPr>
          <w:rFonts w:ascii="Arial" w:hAnsi="Arial" w:cs="Arial"/>
          <w:szCs w:val="22"/>
        </w:rPr>
      </w:pPr>
    </w:p>
    <w:p w:rsidR="00C55A09" w:rsidRPr="001F0ED1" w:rsidRDefault="00C55A09" w:rsidP="001F0ED1">
      <w:pPr>
        <w:jc w:val="center"/>
        <w:rPr>
          <w:rFonts w:ascii="Arial" w:hAnsi="Arial" w:cs="Arial"/>
          <w:b/>
          <w:szCs w:val="22"/>
          <w:u w:val="single"/>
        </w:rPr>
      </w:pPr>
      <w:r w:rsidRPr="001F0ED1">
        <w:rPr>
          <w:rFonts w:ascii="Arial" w:hAnsi="Arial" w:cs="Arial"/>
          <w:b/>
          <w:szCs w:val="22"/>
          <w:u w:val="single"/>
        </w:rPr>
        <w:t>Basic Specifications</w:t>
      </w:r>
    </w:p>
    <w:p w:rsidR="00C55A09" w:rsidRPr="001F0ED1" w:rsidRDefault="00C55A09" w:rsidP="001F0ED1">
      <w:pPr>
        <w:jc w:val="center"/>
        <w:rPr>
          <w:rFonts w:ascii="Arial" w:hAnsi="Arial" w:cs="Arial"/>
          <w:b/>
          <w:szCs w:val="22"/>
          <w:u w:val="single"/>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Hardware:  If Proposer will provide hardware, does the hardware have multiple hard drives utilizing a redundant RAID configuration for fault tolerance? Are redundant servers included as well?</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Operating System and Version: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Web Server: Is a web server required?  If so, what web application is required (Apache or IIS)?  What version?  Are add-ins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Application Server:</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Database:</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Other Requirements: Are any other hardware or software components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Assumptions: List any assumptions made as part of the identification of these environment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Storage: What are the space/storage requirements of this implementation?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Users: What is the maximum number of users this configuration will support?</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Clustering: How does the EIR handle clustering over multiple servers?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Virtual Server Environment: Can the EIR be run in a virtual server environment?</w:t>
      </w:r>
    </w:p>
    <w:p w:rsidR="00C55A09" w:rsidRPr="001F0ED1" w:rsidRDefault="00C55A09" w:rsidP="007904FC">
      <w:pPr>
        <w:pStyle w:val="ListNumber2"/>
        <w:numPr>
          <w:ilvl w:val="0"/>
          <w:numId w:val="0"/>
        </w:numPr>
        <w:ind w:left="72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Proposer, describe in detail what the hosted solution includes, and address, specifically, the following issues:</w:t>
      </w:r>
    </w:p>
    <w:p w:rsidR="0038249F" w:rsidRPr="001F0ED1" w:rsidRDefault="000B06F5"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A.</w:t>
      </w:r>
      <w:r>
        <w:rPr>
          <w:rFonts w:ascii="Arial" w:hAnsi="Arial" w:cs="Arial"/>
          <w:szCs w:val="22"/>
        </w:rPr>
        <w:tab/>
      </w:r>
      <w:r w:rsidR="00992216" w:rsidRPr="001F0ED1">
        <w:rPr>
          <w:rFonts w:ascii="Arial" w:hAnsi="Arial" w:cs="Arial"/>
          <w:szCs w:val="22"/>
        </w:rPr>
        <w:t>Descr</w:t>
      </w:r>
      <w:r w:rsidR="00992216">
        <w:rPr>
          <w:rFonts w:ascii="Arial" w:hAnsi="Arial" w:cs="Arial"/>
          <w:szCs w:val="22"/>
        </w:rPr>
        <w:t>i</w:t>
      </w:r>
      <w:r w:rsidR="00992216" w:rsidRPr="001F0ED1">
        <w:rPr>
          <w:rFonts w:ascii="Arial" w:hAnsi="Arial" w:cs="Arial"/>
          <w:szCs w:val="22"/>
        </w:rPr>
        <w:t xml:space="preserve">be </w:t>
      </w:r>
      <w:r w:rsidR="00C55A09" w:rsidRPr="001F0ED1">
        <w:rPr>
          <w:rFonts w:ascii="Arial" w:hAnsi="Arial" w:cs="Arial"/>
          <w:szCs w:val="22"/>
        </w:rPr>
        <w:t>the audit standards of the physical security of the facility; and</w:t>
      </w:r>
    </w:p>
    <w:p w:rsidR="00C55A09" w:rsidRDefault="0038249F"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B.</w:t>
      </w:r>
      <w:r>
        <w:rPr>
          <w:rFonts w:ascii="Arial" w:hAnsi="Arial" w:cs="Arial"/>
          <w:szCs w:val="22"/>
        </w:rPr>
        <w:tab/>
      </w:r>
      <w:r w:rsidR="00C55A09" w:rsidRPr="001F0ED1">
        <w:rPr>
          <w:rFonts w:ascii="Arial" w:hAnsi="Arial" w:cs="Arial"/>
          <w:szCs w:val="22"/>
        </w:rPr>
        <w:t>Indicate whether Proposer is willing to allow an audit by University or its representative.</w:t>
      </w:r>
    </w:p>
    <w:p w:rsidR="0038249F" w:rsidRPr="001F0ED1" w:rsidRDefault="0038249F" w:rsidP="00F26886">
      <w:pPr>
        <w:pStyle w:val="ListNumber2"/>
        <w:numPr>
          <w:ilvl w:val="0"/>
          <w:numId w:val="0"/>
        </w:numPr>
        <w:spacing w:line="276" w:lineRule="auto"/>
        <w:ind w:left="720" w:hanging="36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user and administrative interfaces for the EIR are web-based, do the interfaces support Firefox on Mac as well as Windows and Safari on the Macintosh?</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requires special client software, what are the environment requirements for that client software?</w:t>
      </w:r>
    </w:p>
    <w:p w:rsidR="00C55A09" w:rsidRPr="001F0ED1" w:rsidRDefault="00C55A09" w:rsidP="007904FC">
      <w:pPr>
        <w:pStyle w:val="ListNumber"/>
        <w:numPr>
          <w:ilvl w:val="0"/>
          <w:numId w:val="0"/>
        </w:numPr>
        <w:rPr>
          <w:rFonts w:ascii="Arial" w:hAnsi="Arial" w:cs="Arial"/>
          <w:szCs w:val="22"/>
        </w:rPr>
      </w:pPr>
    </w:p>
    <w:p w:rsid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Manpower Requirements:  Who will operate and maintain the EIR?  Will additional University full time employees (FTEs) be required?  Will special training on the EIR be required by Proposer’s technical staff? What is the estimated cost of required training</w:t>
      </w:r>
      <w:r w:rsidR="00CC1421" w:rsidRPr="00A87143">
        <w:rPr>
          <w:rFonts w:ascii="Arial" w:hAnsi="Arial" w:cs="Arial"/>
          <w:szCs w:val="22"/>
        </w:rPr>
        <w:t>.</w:t>
      </w:r>
    </w:p>
    <w:p w:rsidR="00A87143" w:rsidRDefault="00A87143" w:rsidP="00A87143">
      <w:pPr>
        <w:pStyle w:val="ListParagraph"/>
        <w:rPr>
          <w:rFonts w:ascii="Arial" w:hAnsi="Arial" w:cs="Arial"/>
          <w:szCs w:val="22"/>
        </w:rPr>
      </w:pPr>
    </w:p>
    <w:p w:rsidR="00C55A09" w:rsidRPr="00F03F35" w:rsidRDefault="00C55A09" w:rsidP="00F26886">
      <w:pPr>
        <w:pStyle w:val="ListNumber"/>
        <w:widowControl w:val="0"/>
        <w:spacing w:line="276" w:lineRule="auto"/>
        <w:rPr>
          <w:rFonts w:ascii="Arial" w:hAnsi="Arial" w:cs="Arial"/>
          <w:szCs w:val="22"/>
        </w:rPr>
      </w:pPr>
      <w:r w:rsidRPr="00F03F35">
        <w:rPr>
          <w:rFonts w:ascii="Arial" w:hAnsi="Arial" w:cs="Arial"/>
          <w:szCs w:val="22"/>
        </w:rPr>
        <w:t>Upgrades and Patches:  Describe Proposer’s strategy regarding EIR upgrades and patches for both the server and, if applicable, the client software.  Included Proposer’s typical release schedule, recommended processes, estimated outage and plans for next version/major upgrade.</w:t>
      </w:r>
    </w:p>
    <w:p w:rsidR="00C55A09" w:rsidRPr="0011686C" w:rsidRDefault="00C55A09" w:rsidP="0011686C">
      <w:pPr>
        <w:pStyle w:val="Heading2"/>
        <w:keepNext w:val="0"/>
        <w:widowControl w:val="0"/>
        <w:rPr>
          <w:rFonts w:cs="Arial"/>
          <w:sz w:val="22"/>
          <w:szCs w:val="22"/>
          <w:u w:val="single"/>
        </w:rPr>
      </w:pPr>
      <w:r w:rsidRPr="0011686C">
        <w:rPr>
          <w:rFonts w:cs="Arial"/>
          <w:sz w:val="22"/>
          <w:szCs w:val="22"/>
          <w:u w:val="single"/>
        </w:rPr>
        <w:lastRenderedPageBreak/>
        <w:t>Security</w:t>
      </w:r>
    </w:p>
    <w:p w:rsidR="00C55A09" w:rsidRPr="001F0ED1" w:rsidRDefault="00C55A09" w:rsidP="00F26886">
      <w:pPr>
        <w:widowControl w:val="0"/>
        <w:rPr>
          <w:rFonts w:ascii="Arial" w:hAnsi="Arial" w:cs="Arial"/>
          <w:szCs w:val="22"/>
        </w:rPr>
      </w:pPr>
    </w:p>
    <w:p w:rsidR="00C55A09" w:rsidRPr="001F0ED1" w:rsidRDefault="00C55A09" w:rsidP="00F26886">
      <w:pPr>
        <w:pStyle w:val="ListNumber"/>
        <w:widowControl w:val="0"/>
        <w:numPr>
          <w:ilvl w:val="0"/>
          <w:numId w:val="8"/>
        </w:numPr>
        <w:spacing w:line="276" w:lineRule="auto"/>
        <w:rPr>
          <w:rFonts w:ascii="Arial" w:hAnsi="Arial" w:cs="Arial"/>
          <w:szCs w:val="22"/>
        </w:rPr>
      </w:pPr>
      <w:r w:rsidRPr="001F0ED1">
        <w:rPr>
          <w:rFonts w:ascii="Arial" w:hAnsi="Arial" w:cs="Arial"/>
          <w:szCs w:val="22"/>
        </w:rPr>
        <w:t>Has the EIR been tested for application security vulnerabilities? For example, has the EIR been evaluated against the Open Web Application Security Project (“</w:t>
      </w:r>
      <w:r w:rsidRPr="001F0ED1">
        <w:rPr>
          <w:rFonts w:ascii="Arial" w:hAnsi="Arial" w:cs="Arial"/>
          <w:b/>
          <w:szCs w:val="22"/>
        </w:rPr>
        <w:t>OWASP</w:t>
      </w:r>
      <w:r w:rsidRPr="001F0ED1">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Which party, Proposer or University, will be responsible for maintaining critical EIR application security updates?</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the EIR is hosted, indicate whether Proposer’s will permit University to conduct a penetration test on University’s instance of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confidential data, including HIPAA or FERPA data, is stored in the EIR, will the data be encrypted at rest and in transmittal?</w:t>
      </w:r>
    </w:p>
    <w:p w:rsidR="00C55A09" w:rsidRPr="0011686C" w:rsidRDefault="00C55A09" w:rsidP="0011686C">
      <w:pPr>
        <w:pStyle w:val="Heading2"/>
        <w:rPr>
          <w:rFonts w:cs="Arial"/>
          <w:sz w:val="22"/>
          <w:szCs w:val="22"/>
          <w:u w:val="single"/>
        </w:rPr>
      </w:pPr>
      <w:r w:rsidRPr="0011686C">
        <w:rPr>
          <w:rFonts w:cs="Arial"/>
          <w:sz w:val="22"/>
          <w:szCs w:val="22"/>
          <w:u w:val="single"/>
        </w:rPr>
        <w:t>Integration</w:t>
      </w:r>
    </w:p>
    <w:p w:rsidR="00C55A09" w:rsidRPr="001F0ED1" w:rsidRDefault="00C55A09" w:rsidP="007904FC">
      <w:pPr>
        <w:rPr>
          <w:rFonts w:ascii="Arial" w:hAnsi="Arial" w:cs="Arial"/>
          <w:szCs w:val="22"/>
        </w:rPr>
      </w:pPr>
    </w:p>
    <w:p w:rsidR="00C55A09" w:rsidRPr="001F0ED1" w:rsidRDefault="00391201" w:rsidP="003A24C0">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1.  </w:t>
      </w:r>
      <w:r w:rsidR="00C55A09" w:rsidRPr="001F0ED1">
        <w:rPr>
          <w:rFonts w:ascii="Arial" w:hAnsi="Arial" w:cs="Arial"/>
          <w:szCs w:val="22"/>
        </w:rPr>
        <w:t>Is the EIR authentication Security Assertion Markup Language (“</w:t>
      </w:r>
      <w:r w:rsidR="00C55A09" w:rsidRPr="001F0ED1">
        <w:rPr>
          <w:rFonts w:ascii="Arial" w:hAnsi="Arial" w:cs="Arial"/>
          <w:b/>
          <w:szCs w:val="22"/>
        </w:rPr>
        <w:t>SAML</w:t>
      </w:r>
      <w:r w:rsidR="00C55A09" w:rsidRPr="001F0ED1">
        <w:rPr>
          <w:rFonts w:ascii="Arial" w:hAnsi="Arial" w:cs="Arial"/>
          <w:szCs w:val="22"/>
        </w:rPr>
        <w:t xml:space="preserve">”) compliant?  Has Proposer ever implemented the EIR with Shibboleth authentication?  If not, does the EIR integrate with Active Directory?  Does the EIR support SSL connections to this directory service? </w:t>
      </w:r>
    </w:p>
    <w:p w:rsidR="00C55A09" w:rsidRPr="001F0ED1" w:rsidRDefault="00C55A09" w:rsidP="007904FC">
      <w:pPr>
        <w:pStyle w:val="ListNumber"/>
        <w:numPr>
          <w:ilvl w:val="0"/>
          <w:numId w:val="0"/>
        </w:numPr>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2.  </w:t>
      </w:r>
      <w:r w:rsidR="00C55A09" w:rsidRPr="001F0ED1">
        <w:rPr>
          <w:rFonts w:ascii="Arial" w:hAnsi="Arial" w:cs="Arial"/>
          <w:szCs w:val="22"/>
        </w:rPr>
        <w:t>Does the EIR rely on Active Directory for group management and authorization or does the EIR maintain a local authorization/group database?</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3.  </w:t>
      </w:r>
      <w:r w:rsidR="00C55A09" w:rsidRPr="001F0ED1">
        <w:rPr>
          <w:rFonts w:ascii="Arial" w:hAnsi="Arial" w:cs="Arial"/>
          <w:szCs w:val="22"/>
        </w:rPr>
        <w:t>What logging capabilities does the EIR have?  If this is a hosted EIR solution, will University have access to implement logging with University’s standard logging and monitoring tools, RSA’s Envision?</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4. </w:t>
      </w:r>
      <w:r w:rsidR="00C55A09" w:rsidRPr="001F0ED1">
        <w:rPr>
          <w:rFonts w:ascii="Arial" w:hAnsi="Arial" w:cs="Arial"/>
          <w:szCs w:val="22"/>
        </w:rPr>
        <w:t>Does the EIR have an application programming interface (“</w:t>
      </w:r>
      <w:r w:rsidR="00C55A09" w:rsidRPr="001F0ED1">
        <w:rPr>
          <w:rFonts w:ascii="Arial" w:hAnsi="Arial" w:cs="Arial"/>
          <w:b/>
          <w:szCs w:val="22"/>
        </w:rPr>
        <w:t>API</w:t>
      </w:r>
      <w:r w:rsidR="00C55A09" w:rsidRPr="001F0ED1">
        <w:rPr>
          <w:rFonts w:ascii="Arial" w:hAnsi="Arial" w:cs="Arial"/>
          <w:szCs w:val="22"/>
        </w:rPr>
        <w:t>”) that enables us to incorporate it with other applications run by the University?  If so, is the API .Net based?  Web Services-based?  Other?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Will University have access to the EIR source code? If so, will the EIR license permit University to make modifications to the source code? Will University’s modifications be protected in future upgrades?</w:t>
      </w:r>
    </w:p>
    <w:p w:rsidR="00CC1421" w:rsidRDefault="00C55A09" w:rsidP="0011686C">
      <w:pPr>
        <w:pStyle w:val="ListNumber"/>
        <w:keepNext/>
        <w:keepLines/>
        <w:spacing w:line="276" w:lineRule="auto"/>
        <w:rPr>
          <w:rFonts w:ascii="Arial" w:hAnsi="Arial" w:cs="Arial"/>
          <w:szCs w:val="22"/>
        </w:rPr>
      </w:pPr>
      <w:r w:rsidRPr="001F0ED1">
        <w:rPr>
          <w:rFonts w:ascii="Arial" w:hAnsi="Arial" w:cs="Arial"/>
          <w:szCs w:val="22"/>
        </w:rPr>
        <w:t>Will Proposer place the EIR source code in escrow with an escrow agent so that if Proposer is no longer in business or Proposer has discontinued support, the EIR source code will be available to University</w:t>
      </w:r>
      <w:r w:rsidR="00CC1421">
        <w:rPr>
          <w:rFonts w:ascii="Arial" w:hAnsi="Arial" w:cs="Arial"/>
          <w:szCs w:val="22"/>
        </w:rPr>
        <w:t>.</w:t>
      </w:r>
    </w:p>
    <w:p w:rsidR="00C55A09" w:rsidRPr="0011686C" w:rsidRDefault="00C55A09" w:rsidP="00B66B24">
      <w:pPr>
        <w:pStyle w:val="Heading2"/>
        <w:keepLines/>
        <w:rPr>
          <w:rFonts w:cs="Arial"/>
          <w:sz w:val="22"/>
          <w:szCs w:val="22"/>
          <w:u w:val="single"/>
        </w:rPr>
      </w:pPr>
      <w:r w:rsidRPr="0011686C">
        <w:rPr>
          <w:rFonts w:cs="Arial"/>
          <w:sz w:val="22"/>
          <w:szCs w:val="22"/>
          <w:u w:val="single"/>
        </w:rPr>
        <w:t>Accessibility Information</w:t>
      </w:r>
    </w:p>
    <w:p w:rsidR="00C55A09" w:rsidRPr="001F0ED1" w:rsidRDefault="00C55A09" w:rsidP="0011686C">
      <w:pPr>
        <w:keepNext/>
        <w:keepLines/>
        <w:rPr>
          <w:rFonts w:ascii="Arial" w:hAnsi="Arial" w:cs="Arial"/>
          <w:szCs w:val="22"/>
        </w:rPr>
      </w:pPr>
    </w:p>
    <w:p w:rsidR="0091491B" w:rsidRDefault="005D7DD2" w:rsidP="001C19AA">
      <w:pPr>
        <w:pStyle w:val="ListNumber"/>
        <w:keepNext/>
        <w:keepLines/>
        <w:numPr>
          <w:ilvl w:val="0"/>
          <w:numId w:val="0"/>
        </w:numPr>
        <w:spacing w:line="276" w:lineRule="auto"/>
        <w:ind w:left="360" w:hanging="360"/>
        <w:jc w:val="left"/>
        <w:rPr>
          <w:rFonts w:ascii="Arial" w:hAnsi="Arial" w:cs="Arial"/>
          <w:szCs w:val="22"/>
        </w:rPr>
        <w:sectPr w:rsidR="0091491B" w:rsidSect="00E43689">
          <w:footerReference w:type="default" r:id="rId25"/>
          <w:type w:val="continuous"/>
          <w:pgSz w:w="12240" w:h="15840" w:code="1"/>
          <w:pgMar w:top="720" w:right="1440" w:bottom="900" w:left="1440" w:header="576" w:footer="576" w:gutter="0"/>
          <w:pgNumType w:start="0"/>
          <w:cols w:space="720"/>
          <w:docGrid w:linePitch="360"/>
        </w:sectPr>
      </w:pPr>
      <w:r>
        <w:rPr>
          <w:rFonts w:ascii="Arial" w:hAnsi="Arial" w:cs="Arial"/>
          <w:szCs w:val="22"/>
        </w:rPr>
        <w:t xml:space="preserve">1.  </w:t>
      </w:r>
      <w:r w:rsidR="00C55A09" w:rsidRPr="001F0ED1">
        <w:rPr>
          <w:rFonts w:ascii="Arial" w:hAnsi="Arial" w:cs="Arial"/>
          <w:szCs w:val="22"/>
        </w:rPr>
        <w:t>Please complete the Voluntary Product Accessibility Template (“</w:t>
      </w:r>
      <w:r w:rsidR="00C55A09" w:rsidRPr="001F0ED1">
        <w:rPr>
          <w:rFonts w:ascii="Arial" w:hAnsi="Arial" w:cs="Arial"/>
          <w:b/>
          <w:szCs w:val="22"/>
        </w:rPr>
        <w:t>VPAT</w:t>
      </w:r>
      <w:r w:rsidR="00C55A09" w:rsidRPr="001F0ED1">
        <w:rPr>
          <w:rFonts w:ascii="Arial" w:hAnsi="Arial" w:cs="Arial"/>
          <w:szCs w:val="22"/>
        </w:rPr>
        <w:t xml:space="preserve">”) found at </w:t>
      </w:r>
      <w:hyperlink r:id="rId26" w:history="1">
        <w:r w:rsidR="00B82C1D" w:rsidRPr="00C854CF">
          <w:rPr>
            <w:rStyle w:val="Hyperlink"/>
            <w:rFonts w:ascii="Arial" w:hAnsi="Arial" w:cs="Arial"/>
            <w:szCs w:val="22"/>
          </w:rPr>
          <w:t>http://www.itic.org:8080/dotAsset/5644ecd2-5024-417f-bc23-a52650f47ef8.doc</w:t>
        </w:r>
      </w:hyperlink>
      <w:r w:rsidR="009E3750">
        <w:rPr>
          <w:rFonts w:ascii="Arial" w:hAnsi="Arial" w:cs="Arial"/>
          <w:szCs w:val="22"/>
        </w:rPr>
        <w:t xml:space="preserve"> </w:t>
      </w:r>
      <w:r w:rsidR="00C55A09" w:rsidRPr="001F0ED1">
        <w:rPr>
          <w:rFonts w:ascii="Arial" w:hAnsi="Arial" w:cs="Arial"/>
          <w:szCs w:val="22"/>
        </w:rPr>
        <w:t>and submit the VPAT with Proposer’s proposal.</w:t>
      </w:r>
    </w:p>
    <w:p w:rsidR="001C19AA" w:rsidRDefault="001C19AA" w:rsidP="001C19AA">
      <w:pPr>
        <w:pStyle w:val="ListNumber"/>
        <w:keepNext/>
        <w:keepLines/>
        <w:numPr>
          <w:ilvl w:val="0"/>
          <w:numId w:val="0"/>
        </w:numPr>
        <w:spacing w:line="276" w:lineRule="auto"/>
        <w:ind w:left="360" w:hanging="360"/>
        <w:jc w:val="left"/>
        <w:rPr>
          <w:rFonts w:ascii="Arial" w:hAnsi="Arial" w:cs="Arial"/>
          <w:b/>
        </w:rPr>
        <w:sectPr w:rsidR="001C19AA" w:rsidSect="00E43689">
          <w:footerReference w:type="default" r:id="rId27"/>
          <w:type w:val="continuous"/>
          <w:pgSz w:w="12240" w:h="15840" w:code="1"/>
          <w:pgMar w:top="720" w:right="1440" w:bottom="900" w:left="1440" w:header="576" w:footer="576" w:gutter="0"/>
          <w:pgNumType w:start="0"/>
          <w:cols w:space="720"/>
          <w:docGrid w:linePitch="360"/>
        </w:sectPr>
      </w:pPr>
      <w:r>
        <w:rPr>
          <w:rFonts w:ascii="Arial" w:hAnsi="Arial" w:cs="Arial"/>
          <w:szCs w:val="22"/>
        </w:rPr>
        <w:lastRenderedPageBreak/>
        <w:br w:type="column"/>
      </w:r>
    </w:p>
    <w:p w:rsidR="006E57F7" w:rsidRPr="00F03F35" w:rsidRDefault="006E57F7" w:rsidP="006E57F7">
      <w:pPr>
        <w:pStyle w:val="PlainText"/>
        <w:jc w:val="both"/>
        <w:rPr>
          <w:rFonts w:ascii="Arial" w:hAnsi="Arial" w:cs="Arial"/>
          <w:szCs w:val="22"/>
        </w:rPr>
      </w:pPr>
      <w:r w:rsidRPr="00F03F35">
        <w:rPr>
          <w:rFonts w:ascii="Arial" w:hAnsi="Arial" w:cs="Arial"/>
          <w:b/>
        </w:rPr>
        <w:lastRenderedPageBreak/>
        <w:t xml:space="preserve">Pursuant to UTS165 </w:t>
      </w:r>
      <w:r w:rsidRPr="00F03F35">
        <w:rPr>
          <w:rFonts w:ascii="Arial" w:hAnsi="Arial" w:cs="Arial"/>
          <w:bCs/>
        </w:rPr>
        <w:t>“</w:t>
      </w:r>
      <w:r w:rsidRPr="00F03F35">
        <w:rPr>
          <w:rFonts w:ascii="Arial" w:hAnsi="Arial" w:cs="Arial"/>
          <w:b/>
          <w:bCs/>
        </w:rPr>
        <w:t>Information Resources</w:t>
      </w:r>
      <w:r w:rsidRPr="00F03F35">
        <w:rPr>
          <w:rFonts w:ascii="Arial" w:hAnsi="Arial" w:cs="Arial"/>
          <w:bCs/>
        </w:rPr>
        <w:t>”</w:t>
      </w:r>
      <w:r w:rsidRPr="00F03F35">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6E57F7" w:rsidRPr="00F03F35" w:rsidRDefault="006E57F7" w:rsidP="006E57F7">
      <w:pPr>
        <w:rPr>
          <w:rFonts w:ascii="Arial" w:hAnsi="Arial" w:cs="Arial"/>
          <w:b/>
        </w:rPr>
      </w:pPr>
    </w:p>
    <w:p w:rsidR="006E57F7" w:rsidRPr="000A69F7" w:rsidRDefault="006E57F7" w:rsidP="006E57F7">
      <w:pPr>
        <w:rPr>
          <w:rFonts w:ascii="Arial" w:hAnsi="Arial"/>
          <w:b/>
        </w:rPr>
      </w:pPr>
      <w:r w:rsidRPr="00F03F35">
        <w:rPr>
          <w:rFonts w:ascii="Arial" w:hAnsi="Arial" w:cs="Arial"/>
        </w:rPr>
        <w:t>Pursuant to UTS165, “</w:t>
      </w:r>
      <w:r w:rsidRPr="00F03F35">
        <w:rPr>
          <w:rFonts w:ascii="Arial" w:hAnsi="Arial"/>
          <w:b/>
        </w:rPr>
        <w:t>Data</w:t>
      </w:r>
      <w:r w:rsidRPr="00F03F35">
        <w:rPr>
          <w:rFonts w:ascii="Arial" w:hAnsi="Arial" w:cs="Arial"/>
        </w:rPr>
        <w:t xml:space="preserve">” means </w:t>
      </w:r>
      <w:r w:rsidRPr="00F03F35">
        <w:rPr>
          <w:rFonts w:ascii="Arial" w:hAnsi="Arial"/>
        </w:rPr>
        <w:t xml:space="preserve">recorded data, regardless of form or media in which it may be recorded, which constitute the original data necessary to support the business of UT System or original observations and methods of a study and the analyses of such original data that are necessary to support </w:t>
      </w:r>
      <w:r w:rsidRPr="00F03F35">
        <w:rPr>
          <w:rFonts w:ascii="Arial" w:hAnsi="Arial" w:cs="Arial"/>
        </w:rPr>
        <w:t>research</w:t>
      </w:r>
      <w:r w:rsidRPr="00F03F35">
        <w:rPr>
          <w:rFonts w:ascii="Arial" w:hAnsi="Arial"/>
        </w:rPr>
        <w:t xml:space="preserve"> activities and validate </w:t>
      </w:r>
      <w:r w:rsidRPr="00F03F35">
        <w:rPr>
          <w:rFonts w:ascii="Arial" w:hAnsi="Arial" w:cs="Arial"/>
        </w:rPr>
        <w:t>research</w:t>
      </w:r>
      <w:r w:rsidRPr="00F03F35">
        <w:rPr>
          <w:rFonts w:ascii="Arial" w:hAnsi="Arial"/>
        </w:rPr>
        <w:t xml:space="preserve"> findings. Data includes, but is not limited to: printed records, observations and notes; electronic data; video and audio records, photographs and negatives</w:t>
      </w:r>
      <w:r w:rsidR="003F647C" w:rsidRPr="00F03F35">
        <w:rPr>
          <w:rFonts w:ascii="Arial" w:hAnsi="Arial"/>
        </w:rPr>
        <w:t>:</w:t>
      </w:r>
    </w:p>
    <w:p w:rsidR="006E57F7" w:rsidRDefault="006E57F7" w:rsidP="0011686C">
      <w:pPr>
        <w:widowControl w:val="0"/>
        <w:jc w:val="center"/>
      </w:pPr>
    </w:p>
    <w:p w:rsidR="0062024E" w:rsidRPr="001F0ED1" w:rsidRDefault="0062024E" w:rsidP="0011686C">
      <w:pPr>
        <w:widowControl w:val="0"/>
        <w:jc w:val="center"/>
        <w:rPr>
          <w:rFonts w:ascii="Arial" w:hAnsi="Arial" w:cs="Arial"/>
          <w:b/>
          <w:bCs/>
          <w:szCs w:val="22"/>
        </w:rPr>
      </w:pPr>
      <w:r w:rsidRPr="001F0ED1">
        <w:rPr>
          <w:rFonts w:ascii="Arial" w:hAnsi="Arial" w:cs="Arial"/>
          <w:b/>
          <w:bCs/>
          <w:szCs w:val="22"/>
        </w:rPr>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322539" w:rsidRPr="00FC7F03" w:rsidRDefault="001763E4" w:rsidP="00322539">
      <w:pPr>
        <w:pStyle w:val="PlainText"/>
        <w:jc w:val="both"/>
        <w:rPr>
          <w:rFonts w:ascii="Arial" w:eastAsia="Arial Unicode MS" w:hAnsi="Arial" w:cs="Arial"/>
          <w:szCs w:val="22"/>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FC7F03" w:rsidRPr="00B479C7" w:rsidRDefault="00FC7F03" w:rsidP="00B479C7">
      <w:pPr>
        <w:pStyle w:val="PlainText"/>
        <w:jc w:val="center"/>
        <w:rPr>
          <w:rFonts w:ascii="Arial" w:hAnsi="Arial"/>
          <w:b/>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5.3.4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lastRenderedPageBreak/>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Default="0021458D" w:rsidP="001C19AA">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 xml:space="preserve">HIPAA Security Rule (45 C.F.R. § 164 </w:t>
      </w:r>
      <w:proofErr w:type="spellStart"/>
      <w:r w:rsidR="005E4452" w:rsidRPr="007B4BDC">
        <w:rPr>
          <w:rFonts w:ascii="Arial" w:hAnsi="Arial" w:cs="Arial"/>
          <w:szCs w:val="22"/>
        </w:rPr>
        <w:t>subpts</w:t>
      </w:r>
      <w:proofErr w:type="spellEnd"/>
      <w:r w:rsidR="005E4452" w:rsidRPr="007B4BDC">
        <w:rPr>
          <w:rFonts w:ascii="Arial" w:hAnsi="Arial" w:cs="Arial"/>
          <w:szCs w:val="22"/>
        </w:rPr>
        <w:t>.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1C19AA" w:rsidP="001C19AA">
      <w:pPr>
        <w:pStyle w:val="ListNumber"/>
        <w:numPr>
          <w:ilvl w:val="0"/>
          <w:numId w:val="0"/>
        </w:numPr>
        <w:jc w:val="center"/>
        <w:rPr>
          <w:rFonts w:ascii="Arial" w:hAnsi="Arial" w:cs="Arial"/>
          <w:b/>
          <w:szCs w:val="22"/>
          <w:u w:val="single"/>
        </w:rPr>
      </w:pPr>
      <w:r>
        <w:rPr>
          <w:rFonts w:ascii="Arial" w:hAnsi="Arial" w:cs="Arial"/>
          <w:szCs w:val="22"/>
        </w:rPr>
        <w:br w:type="page"/>
      </w:r>
      <w:r w:rsidR="00EA56EA" w:rsidRPr="00805535">
        <w:rPr>
          <w:rFonts w:ascii="Arial" w:hAnsi="Arial" w:cs="Arial"/>
          <w:b/>
          <w:szCs w:val="22"/>
          <w:u w:val="single"/>
        </w:rPr>
        <w:lastRenderedPageBreak/>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w:t>
      </w:r>
      <w:r w:rsidR="00BB0684" w:rsidRPr="00BB0684">
        <w:rPr>
          <w:rFonts w:ascii="Arial" w:hAnsi="Arial" w:cs="Arial"/>
          <w:szCs w:val="22"/>
        </w:rPr>
        <w:lastRenderedPageBreak/>
        <w:t xml:space="preserve">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lastRenderedPageBreak/>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B45663">
      <w:pPr>
        <w:pStyle w:val="ListNumber2"/>
        <w:numPr>
          <w:ilvl w:val="0"/>
          <w:numId w:val="0"/>
        </w:numPr>
        <w:tabs>
          <w:tab w:val="left" w:pos="360"/>
        </w:tabs>
      </w:pPr>
      <w:r>
        <w:t xml:space="preserve">3.  </w:t>
      </w:r>
      <w:r w:rsidR="00BB0684" w:rsidRPr="001B184C">
        <w:t xml:space="preserve">List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incidents, including the final outcome.</w:t>
      </w:r>
    </w:p>
    <w:sectPr w:rsidR="00EA56EA" w:rsidRPr="001B184C" w:rsidSect="001C19AA">
      <w:type w:val="continuous"/>
      <w:pgSz w:w="12240" w:h="15840" w:code="1"/>
      <w:pgMar w:top="720" w:right="1440" w:bottom="90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FB" w:rsidRDefault="00DC4CFB">
      <w:r>
        <w:separator/>
      </w:r>
    </w:p>
  </w:endnote>
  <w:endnote w:type="continuationSeparator" w:id="0">
    <w:p w:rsidR="00DC4CFB" w:rsidRDefault="00DC4CFB">
      <w:r>
        <w:continuationSeparator/>
      </w:r>
    </w:p>
  </w:endnote>
  <w:endnote w:type="continuationNotice" w:id="1">
    <w:p w:rsidR="00DC4CFB" w:rsidRDefault="00DC4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Footer"/>
      <w:tabs>
        <w:tab w:val="left" w:pos="0"/>
      </w:tabs>
      <w:ind w:left="0"/>
      <w:jc w:val="center"/>
    </w:pPr>
    <w:r>
      <w:t xml:space="preserve">- </w:t>
    </w:r>
    <w:r>
      <w:fldChar w:fldCharType="begin"/>
    </w:r>
    <w:r>
      <w:instrText xml:space="preserve"> PAGE </w:instrText>
    </w:r>
    <w:r>
      <w:fldChar w:fldCharType="separate"/>
    </w:r>
    <w:r w:rsidR="00B323C6">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Footer"/>
      <w:ind w:left="0"/>
      <w:jc w:val="center"/>
    </w:pPr>
    <w:r>
      <w:t>REQUEST FOR PROPOSAL</w:t>
    </w:r>
  </w:p>
  <w:p w:rsidR="00DC4CFB" w:rsidRDefault="00DC4CFB">
    <w:pPr>
      <w:pStyle w:val="Footer"/>
      <w:ind w:left="0"/>
      <w:jc w:val="center"/>
    </w:pPr>
    <w:r>
      <w:t xml:space="preserve">Page </w:t>
    </w:r>
    <w:r>
      <w:fldChar w:fldCharType="begin"/>
    </w:r>
    <w:r>
      <w:instrText xml:space="preserve"> PAGE </w:instrText>
    </w:r>
    <w:r>
      <w:fldChar w:fldCharType="separate"/>
    </w:r>
    <w:r w:rsidR="00B323C6">
      <w:rPr>
        <w:noProof/>
      </w:rPr>
      <w:t>12</w:t>
    </w:r>
    <w:r>
      <w:rPr>
        <w:noProof/>
      </w:rPr>
      <w:fldChar w:fldCharType="end"/>
    </w:r>
    <w:r>
      <w:t xml:space="preserve"> of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rsidP="001949DF">
    <w:pPr>
      <w:pStyle w:val="Footer"/>
      <w:tabs>
        <w:tab w:val="left" w:pos="0"/>
      </w:tabs>
      <w:ind w:left="0"/>
      <w:jc w:val="center"/>
    </w:pPr>
    <w:r>
      <w:t xml:space="preserve">- </w:t>
    </w:r>
    <w:r>
      <w:fldChar w:fldCharType="begin"/>
    </w:r>
    <w:r>
      <w:instrText xml:space="preserve"> PAGE </w:instrText>
    </w:r>
    <w:r>
      <w:fldChar w:fldCharType="separate"/>
    </w:r>
    <w:r w:rsidR="00B323C6">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Footer"/>
      <w:ind w:left="0"/>
      <w:jc w:val="center"/>
    </w:pPr>
  </w:p>
  <w:p w:rsidR="00DC4CFB" w:rsidRDefault="00DC4CFB">
    <w:pPr>
      <w:pStyle w:val="Footer"/>
      <w:ind w:left="0"/>
      <w:jc w:val="center"/>
    </w:pPr>
    <w:r>
      <w:t>APPENDIX ONE</w:t>
    </w:r>
  </w:p>
  <w:p w:rsidR="00DC4CFB" w:rsidRDefault="00DC4CFB">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323C6">
      <w:rPr>
        <w:rStyle w:val="PageNumber"/>
        <w:noProof/>
      </w:rPr>
      <w:t>6</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rsidP="009E6842">
    <w:pPr>
      <w:pStyle w:val="Footer"/>
      <w:ind w:left="0"/>
      <w:jc w:val="center"/>
    </w:pPr>
    <w:r>
      <w:t>APPENDIX FIVE</w:t>
    </w:r>
  </w:p>
  <w:p w:rsidR="00DC4CFB" w:rsidRDefault="00DC4CFB" w:rsidP="009E6842">
    <w:pPr>
      <w:pStyle w:val="Footer"/>
      <w:ind w:left="0"/>
      <w:jc w:val="center"/>
    </w:pPr>
    <w:r>
      <w:t xml:space="preserve">Page </w:t>
    </w:r>
    <w:r>
      <w:rPr>
        <w:b w:val="0"/>
      </w:rPr>
      <w:fldChar w:fldCharType="begin"/>
    </w:r>
    <w:r>
      <w:instrText xml:space="preserve"> PAGE  \* Arabic  \* MERGEFORMAT </w:instrText>
    </w:r>
    <w:r>
      <w:rPr>
        <w:b w:val="0"/>
      </w:rPr>
      <w:fldChar w:fldCharType="separate"/>
    </w:r>
    <w:r w:rsidR="00B323C6">
      <w:rPr>
        <w:noProof/>
      </w:rPr>
      <w:t>1</w:t>
    </w:r>
    <w:r>
      <w:rPr>
        <w:b w:val="0"/>
      </w:rPr>
      <w:fldChar w:fldCharType="end"/>
    </w:r>
    <w:r>
      <w:t xml:space="preserve"> of 1</w:t>
    </w:r>
  </w:p>
  <w:p w:rsidR="00DC4CFB" w:rsidRDefault="00DC4CFB">
    <w:pPr>
      <w:pStyle w:val="Footer"/>
      <w:ind w:left="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rsidP="00E43689">
    <w:pPr>
      <w:pStyle w:val="Footer"/>
      <w:ind w:left="0"/>
      <w:jc w:val="center"/>
    </w:pPr>
    <w:r>
      <w:t>APPENDIX SIX</w:t>
    </w:r>
  </w:p>
  <w:p w:rsidR="00DC4CFB" w:rsidRPr="00E43689" w:rsidRDefault="00DC4CFB">
    <w:pPr>
      <w:pStyle w:val="Footer"/>
      <w:ind w:left="0"/>
      <w:jc w:val="center"/>
    </w:pPr>
    <w:r>
      <w:t xml:space="preserve">Page </w:t>
    </w:r>
    <w:r>
      <w:rPr>
        <w:b w:val="0"/>
      </w:rPr>
      <w:fldChar w:fldCharType="begin"/>
    </w:r>
    <w:r>
      <w:instrText xml:space="preserve"> PAGE  \* Arabic  \* MERGEFORMAT </w:instrText>
    </w:r>
    <w:r>
      <w:rPr>
        <w:b w:val="0"/>
      </w:rPr>
      <w:fldChar w:fldCharType="separate"/>
    </w:r>
    <w:r w:rsidR="00B323C6">
      <w:rPr>
        <w:noProof/>
      </w:rPr>
      <w:t>2</w:t>
    </w:r>
    <w:r>
      <w:rPr>
        <w:b w:val="0"/>
      </w:rPr>
      <w:fldChar w:fldCharType="end"/>
    </w:r>
    <w:r>
      <w:t xml:space="preserve"> </w:t>
    </w:r>
    <w:r w:rsidRPr="00E43689">
      <w:t>of 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rsidP="00E43689">
    <w:pPr>
      <w:pStyle w:val="Footer"/>
      <w:ind w:left="0"/>
      <w:jc w:val="center"/>
    </w:pPr>
    <w:r>
      <w:t>APPENDIX SEVEN</w:t>
    </w:r>
  </w:p>
  <w:p w:rsidR="00DC4CFB" w:rsidRDefault="00DC4CFB">
    <w:pPr>
      <w:pStyle w:val="Footer"/>
      <w:ind w:left="0"/>
      <w:jc w:val="center"/>
    </w:pPr>
    <w:r>
      <w:t xml:space="preserve">Page </w:t>
    </w:r>
    <w:r>
      <w:rPr>
        <w:b w:val="0"/>
      </w:rPr>
      <w:fldChar w:fldCharType="begin"/>
    </w:r>
    <w:r>
      <w:instrText xml:space="preserve"> PAGE  \* Arabic  \* MERGEFORMAT </w:instrText>
    </w:r>
    <w:r>
      <w:rPr>
        <w:b w:val="0"/>
      </w:rPr>
      <w:fldChar w:fldCharType="separate"/>
    </w:r>
    <w:r w:rsidR="00B323C6">
      <w:rPr>
        <w:noProof/>
      </w:rPr>
      <w:t>5</w:t>
    </w:r>
    <w:r>
      <w:rPr>
        <w:b w:val="0"/>
      </w:rPr>
      <w:fldChar w:fldCharType="end"/>
    </w:r>
    <w:r>
      <w:t xml:space="preserve"> of </w:t>
    </w:r>
    <w:r w:rsidRPr="00E43689">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FB" w:rsidRDefault="00DC4CFB">
      <w:r>
        <w:separator/>
      </w:r>
    </w:p>
  </w:footnote>
  <w:footnote w:type="continuationSeparator" w:id="0">
    <w:p w:rsidR="00DC4CFB" w:rsidRDefault="00DC4CFB">
      <w:r>
        <w:continuationSeparator/>
      </w:r>
    </w:p>
  </w:footnote>
  <w:footnote w:type="continuationNotice" w:id="1">
    <w:p w:rsidR="00DC4CFB" w:rsidRDefault="00DC4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Header"/>
      <w:jc w:val="right"/>
      <w:rPr>
        <w:rFonts w:ascii="Arial" w:hAnsi="Arial"/>
        <w:b/>
        <w:bCs/>
      </w:rPr>
    </w:pPr>
    <w:r>
      <w:rPr>
        <w:b/>
        <w:bCs/>
        <w:shadow/>
        <w:sz w:val="16"/>
      </w:rPr>
      <w:t>REQUEST FOR 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Default="00DC4CFB">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FA44963"/>
    <w:multiLevelType w:val="hybridMultilevel"/>
    <w:tmpl w:val="40B2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95078"/>
    <w:multiLevelType w:val="hybridMultilevel"/>
    <w:tmpl w:val="ABBE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CA54F3"/>
    <w:multiLevelType w:val="hybridMultilevel"/>
    <w:tmpl w:val="6748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1">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7AF02679"/>
    <w:multiLevelType w:val="hybridMultilevel"/>
    <w:tmpl w:val="CD7EE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5"/>
  </w:num>
  <w:num w:numId="16">
    <w:abstractNumId w:val="3"/>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0B79"/>
    <w:rsid w:val="000124B1"/>
    <w:rsid w:val="00021440"/>
    <w:rsid w:val="00022158"/>
    <w:rsid w:val="000238E5"/>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0109"/>
    <w:rsid w:val="00112175"/>
    <w:rsid w:val="0011686C"/>
    <w:rsid w:val="001173F2"/>
    <w:rsid w:val="00122410"/>
    <w:rsid w:val="001235A4"/>
    <w:rsid w:val="001237AC"/>
    <w:rsid w:val="00124392"/>
    <w:rsid w:val="001252FA"/>
    <w:rsid w:val="00130352"/>
    <w:rsid w:val="001306E3"/>
    <w:rsid w:val="00131F1C"/>
    <w:rsid w:val="001370EB"/>
    <w:rsid w:val="00140893"/>
    <w:rsid w:val="001408E8"/>
    <w:rsid w:val="001441D3"/>
    <w:rsid w:val="00144828"/>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87719"/>
    <w:rsid w:val="001949DF"/>
    <w:rsid w:val="00194CB0"/>
    <w:rsid w:val="001A6B3A"/>
    <w:rsid w:val="001B1628"/>
    <w:rsid w:val="001B184C"/>
    <w:rsid w:val="001B489C"/>
    <w:rsid w:val="001B4B83"/>
    <w:rsid w:val="001C19AA"/>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719DD"/>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34BC1"/>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5E51BF"/>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C79A0"/>
    <w:rsid w:val="007D25C0"/>
    <w:rsid w:val="007D33F2"/>
    <w:rsid w:val="007D3ADB"/>
    <w:rsid w:val="007D5911"/>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97803"/>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491B"/>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77EA2"/>
    <w:rsid w:val="00980AB9"/>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6B68"/>
    <w:rsid w:val="009D7622"/>
    <w:rsid w:val="009D7E8E"/>
    <w:rsid w:val="009E25C5"/>
    <w:rsid w:val="009E2A00"/>
    <w:rsid w:val="009E3750"/>
    <w:rsid w:val="009E3DA9"/>
    <w:rsid w:val="009E6842"/>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62464"/>
    <w:rsid w:val="00A62860"/>
    <w:rsid w:val="00A635A7"/>
    <w:rsid w:val="00A64DED"/>
    <w:rsid w:val="00A672B0"/>
    <w:rsid w:val="00A6794B"/>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23C6"/>
    <w:rsid w:val="00B33FDD"/>
    <w:rsid w:val="00B33FEC"/>
    <w:rsid w:val="00B431EC"/>
    <w:rsid w:val="00B44752"/>
    <w:rsid w:val="00B45663"/>
    <w:rsid w:val="00B479C7"/>
    <w:rsid w:val="00B547DB"/>
    <w:rsid w:val="00B568E4"/>
    <w:rsid w:val="00B56EE8"/>
    <w:rsid w:val="00B6612D"/>
    <w:rsid w:val="00B66B24"/>
    <w:rsid w:val="00B674BE"/>
    <w:rsid w:val="00B70875"/>
    <w:rsid w:val="00B77C90"/>
    <w:rsid w:val="00B81CAF"/>
    <w:rsid w:val="00B82C1D"/>
    <w:rsid w:val="00B900D3"/>
    <w:rsid w:val="00B9060B"/>
    <w:rsid w:val="00B96003"/>
    <w:rsid w:val="00B9790F"/>
    <w:rsid w:val="00BA2D4C"/>
    <w:rsid w:val="00BA30CB"/>
    <w:rsid w:val="00BA5697"/>
    <w:rsid w:val="00BA6D8F"/>
    <w:rsid w:val="00BB0684"/>
    <w:rsid w:val="00BB285A"/>
    <w:rsid w:val="00BB2E1C"/>
    <w:rsid w:val="00BB7404"/>
    <w:rsid w:val="00BC06CA"/>
    <w:rsid w:val="00BC2614"/>
    <w:rsid w:val="00BC6C8E"/>
    <w:rsid w:val="00BD005A"/>
    <w:rsid w:val="00BD0C7C"/>
    <w:rsid w:val="00BD1568"/>
    <w:rsid w:val="00BD1DC7"/>
    <w:rsid w:val="00BD2D3F"/>
    <w:rsid w:val="00BD7D5C"/>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57B9F"/>
    <w:rsid w:val="00C61564"/>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668C"/>
    <w:rsid w:val="00D47A5F"/>
    <w:rsid w:val="00D51916"/>
    <w:rsid w:val="00D5440B"/>
    <w:rsid w:val="00D609D6"/>
    <w:rsid w:val="00D60D13"/>
    <w:rsid w:val="00D650ED"/>
    <w:rsid w:val="00D73F18"/>
    <w:rsid w:val="00D77F67"/>
    <w:rsid w:val="00D81F61"/>
    <w:rsid w:val="00D863AE"/>
    <w:rsid w:val="00D901D2"/>
    <w:rsid w:val="00DA017C"/>
    <w:rsid w:val="00DA0ECE"/>
    <w:rsid w:val="00DA1D0E"/>
    <w:rsid w:val="00DA37C0"/>
    <w:rsid w:val="00DA4E2F"/>
    <w:rsid w:val="00DA62E3"/>
    <w:rsid w:val="00DB2D66"/>
    <w:rsid w:val="00DC4CFB"/>
    <w:rsid w:val="00DC7EF4"/>
    <w:rsid w:val="00DD0D74"/>
    <w:rsid w:val="00DD1FD3"/>
    <w:rsid w:val="00DD4485"/>
    <w:rsid w:val="00DD6F64"/>
    <w:rsid w:val="00DE6DCA"/>
    <w:rsid w:val="00DF41B9"/>
    <w:rsid w:val="00DF7938"/>
    <w:rsid w:val="00E00851"/>
    <w:rsid w:val="00E03A6D"/>
    <w:rsid w:val="00E0421B"/>
    <w:rsid w:val="00E05B83"/>
    <w:rsid w:val="00E10AF0"/>
    <w:rsid w:val="00E112D6"/>
    <w:rsid w:val="00E1208B"/>
    <w:rsid w:val="00E22716"/>
    <w:rsid w:val="00E24942"/>
    <w:rsid w:val="00E27089"/>
    <w:rsid w:val="00E34AF3"/>
    <w:rsid w:val="00E35CA1"/>
    <w:rsid w:val="00E36914"/>
    <w:rsid w:val="00E42D54"/>
    <w:rsid w:val="00E43689"/>
    <w:rsid w:val="00E43DBB"/>
    <w:rsid w:val="00E44FBF"/>
    <w:rsid w:val="00E454F0"/>
    <w:rsid w:val="00E51E35"/>
    <w:rsid w:val="00E53D57"/>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39C9"/>
    <w:rsid w:val="00F03F35"/>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3E7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character" w:customStyle="1" w:styleId="FooterChar">
    <w:name w:val="Footer Char"/>
    <w:basedOn w:val="DefaultParagraphFont"/>
    <w:link w:val="Footer"/>
    <w:uiPriority w:val="99"/>
    <w:rsid w:val="000238E5"/>
    <w:rPr>
      <w:rFonts w:ascii="Helvetica" w:eastAsia="Times New Roman" w:hAnsi="Helvetica"/>
      <w:b/>
      <w:sz w:val="16"/>
    </w:rPr>
  </w:style>
  <w:style w:type="character" w:customStyle="1" w:styleId="HeaderChar">
    <w:name w:val="Header Char"/>
    <w:basedOn w:val="DefaultParagraphFont"/>
    <w:link w:val="Header"/>
    <w:uiPriority w:val="99"/>
    <w:rsid w:val="00897803"/>
    <w:rPr>
      <w:rFonts w:ascii="Helvetica" w:eastAsia="Times New Roman"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character" w:customStyle="1" w:styleId="FooterChar">
    <w:name w:val="Footer Char"/>
    <w:basedOn w:val="DefaultParagraphFont"/>
    <w:link w:val="Footer"/>
    <w:uiPriority w:val="99"/>
    <w:rsid w:val="000238E5"/>
    <w:rPr>
      <w:rFonts w:ascii="Helvetica" w:eastAsia="Times New Roman" w:hAnsi="Helvetica"/>
      <w:b/>
      <w:sz w:val="16"/>
    </w:rPr>
  </w:style>
  <w:style w:type="character" w:customStyle="1" w:styleId="HeaderChar">
    <w:name w:val="Header Char"/>
    <w:basedOn w:val="DefaultParagraphFont"/>
    <w:link w:val="Header"/>
    <w:uiPriority w:val="99"/>
    <w:rsid w:val="00897803"/>
    <w:rPr>
      <w:rFonts w:ascii="Helvetica" w:eastAsia="Times New Roman"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15612381">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59469758">
      <w:bodyDiv w:val="1"/>
      <w:marLeft w:val="0"/>
      <w:marRight w:val="0"/>
      <w:marTop w:val="0"/>
      <w:marBottom w:val="0"/>
      <w:divBdr>
        <w:top w:val="none" w:sz="0" w:space="0" w:color="auto"/>
        <w:left w:val="none" w:sz="0" w:space="0" w:color="auto"/>
        <w:bottom w:val="none" w:sz="0" w:space="0" w:color="auto"/>
        <w:right w:val="none" w:sz="0" w:space="0" w:color="auto"/>
      </w:divBdr>
    </w:div>
    <w:div w:id="17237597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504711749">
      <w:bodyDiv w:val="1"/>
      <w:marLeft w:val="0"/>
      <w:marRight w:val="0"/>
      <w:marTop w:val="0"/>
      <w:marBottom w:val="0"/>
      <w:divBdr>
        <w:top w:val="none" w:sz="0" w:space="0" w:color="auto"/>
        <w:left w:val="none" w:sz="0" w:space="0" w:color="auto"/>
        <w:bottom w:val="none" w:sz="0" w:space="0" w:color="auto"/>
        <w:right w:val="none" w:sz="0" w:space="0" w:color="auto"/>
      </w:divBdr>
    </w:div>
    <w:div w:id="538518330">
      <w:bodyDiv w:val="1"/>
      <w:marLeft w:val="0"/>
      <w:marRight w:val="0"/>
      <w:marTop w:val="0"/>
      <w:marBottom w:val="0"/>
      <w:divBdr>
        <w:top w:val="none" w:sz="0" w:space="0" w:color="auto"/>
        <w:left w:val="none" w:sz="0" w:space="0" w:color="auto"/>
        <w:bottom w:val="none" w:sz="0" w:space="0" w:color="auto"/>
        <w:right w:val="none" w:sz="0" w:space="0" w:color="auto"/>
      </w:divBdr>
    </w:div>
    <w:div w:id="552927679">
      <w:bodyDiv w:val="1"/>
      <w:marLeft w:val="0"/>
      <w:marRight w:val="0"/>
      <w:marTop w:val="0"/>
      <w:marBottom w:val="0"/>
      <w:divBdr>
        <w:top w:val="none" w:sz="0" w:space="0" w:color="auto"/>
        <w:left w:val="none" w:sz="0" w:space="0" w:color="auto"/>
        <w:bottom w:val="none" w:sz="0" w:space="0" w:color="auto"/>
        <w:right w:val="none" w:sz="0" w:space="0" w:color="auto"/>
      </w:divBdr>
    </w:div>
    <w:div w:id="566960926">
      <w:bodyDiv w:val="1"/>
      <w:marLeft w:val="0"/>
      <w:marRight w:val="0"/>
      <w:marTop w:val="0"/>
      <w:marBottom w:val="0"/>
      <w:divBdr>
        <w:top w:val="none" w:sz="0" w:space="0" w:color="auto"/>
        <w:left w:val="none" w:sz="0" w:space="0" w:color="auto"/>
        <w:bottom w:val="none" w:sz="0" w:space="0" w:color="auto"/>
        <w:right w:val="none" w:sz="0" w:space="0" w:color="auto"/>
      </w:divBdr>
    </w:div>
    <w:div w:id="775712464">
      <w:bodyDiv w:val="1"/>
      <w:marLeft w:val="0"/>
      <w:marRight w:val="0"/>
      <w:marTop w:val="0"/>
      <w:marBottom w:val="0"/>
      <w:divBdr>
        <w:top w:val="none" w:sz="0" w:space="0" w:color="auto"/>
        <w:left w:val="none" w:sz="0" w:space="0" w:color="auto"/>
        <w:bottom w:val="none" w:sz="0" w:space="0" w:color="auto"/>
        <w:right w:val="none" w:sz="0" w:space="0" w:color="auto"/>
      </w:divBdr>
    </w:div>
    <w:div w:id="814562869">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877737303">
      <w:bodyDiv w:val="1"/>
      <w:marLeft w:val="0"/>
      <w:marRight w:val="0"/>
      <w:marTop w:val="0"/>
      <w:marBottom w:val="0"/>
      <w:divBdr>
        <w:top w:val="none" w:sz="0" w:space="0" w:color="auto"/>
        <w:left w:val="none" w:sz="0" w:space="0" w:color="auto"/>
        <w:bottom w:val="none" w:sz="0" w:space="0" w:color="auto"/>
        <w:right w:val="none" w:sz="0" w:space="0" w:color="auto"/>
      </w:divBdr>
    </w:div>
    <w:div w:id="958023974">
      <w:bodyDiv w:val="1"/>
      <w:marLeft w:val="0"/>
      <w:marRight w:val="0"/>
      <w:marTop w:val="0"/>
      <w:marBottom w:val="0"/>
      <w:divBdr>
        <w:top w:val="none" w:sz="0" w:space="0" w:color="auto"/>
        <w:left w:val="none" w:sz="0" w:space="0" w:color="auto"/>
        <w:bottom w:val="none" w:sz="0" w:space="0" w:color="auto"/>
        <w:right w:val="none" w:sz="0" w:space="0" w:color="auto"/>
      </w:divBdr>
    </w:div>
    <w:div w:id="1180461313">
      <w:bodyDiv w:val="1"/>
      <w:marLeft w:val="0"/>
      <w:marRight w:val="0"/>
      <w:marTop w:val="0"/>
      <w:marBottom w:val="0"/>
      <w:divBdr>
        <w:top w:val="none" w:sz="0" w:space="0" w:color="auto"/>
        <w:left w:val="none" w:sz="0" w:space="0" w:color="auto"/>
        <w:bottom w:val="none" w:sz="0" w:space="0" w:color="auto"/>
        <w:right w:val="none" w:sz="0" w:space="0" w:color="auto"/>
      </w:divBdr>
    </w:div>
    <w:div w:id="1224371688">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30277855">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65222990">
      <w:bodyDiv w:val="1"/>
      <w:marLeft w:val="0"/>
      <w:marRight w:val="0"/>
      <w:marTop w:val="0"/>
      <w:marBottom w:val="0"/>
      <w:divBdr>
        <w:top w:val="none" w:sz="0" w:space="0" w:color="auto"/>
        <w:left w:val="none" w:sz="0" w:space="0" w:color="auto"/>
        <w:bottom w:val="none" w:sz="0" w:space="0" w:color="auto"/>
        <w:right w:val="none" w:sz="0" w:space="0" w:color="auto"/>
      </w:divBdr>
    </w:div>
    <w:div w:id="1831478256">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7032213">
      <w:bodyDiv w:val="1"/>
      <w:marLeft w:val="0"/>
      <w:marRight w:val="0"/>
      <w:marTop w:val="0"/>
      <w:marBottom w:val="0"/>
      <w:divBdr>
        <w:top w:val="none" w:sz="0" w:space="0" w:color="auto"/>
        <w:left w:val="none" w:sz="0" w:space="0" w:color="auto"/>
        <w:bottom w:val="none" w:sz="0" w:space="0" w:color="auto"/>
        <w:right w:val="none" w:sz="0" w:space="0" w:color="auto"/>
      </w:divBdr>
    </w:div>
    <w:div w:id="2038657400">
      <w:bodyDiv w:val="1"/>
      <w:marLeft w:val="0"/>
      <w:marRight w:val="0"/>
      <w:marTop w:val="0"/>
      <w:marBottom w:val="0"/>
      <w:divBdr>
        <w:top w:val="none" w:sz="0" w:space="0" w:color="auto"/>
        <w:left w:val="none" w:sz="0" w:space="0" w:color="auto"/>
        <w:bottom w:val="none" w:sz="0" w:space="0" w:color="auto"/>
        <w:right w:val="none" w:sz="0" w:space="0" w:color="auto"/>
      </w:divBdr>
    </w:div>
    <w:div w:id="20758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system.edu/institutions" TargetMode="External"/><Relationship Id="rId18" Type="http://schemas.openxmlformats.org/officeDocument/2006/relationships/header" Target="header5.xml"/><Relationship Id="rId26" Type="http://schemas.openxmlformats.org/officeDocument/2006/relationships/hyperlink" Target="http://www.itic.org:8080/dotAsset/5644ecd2-5024-417f-bc23-a52650f47ef8.doc" TargetMode="Externa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33</Pages>
  <Words>11635</Words>
  <Characters>68477</Characters>
  <Application>Microsoft Office Word</Application>
  <DocSecurity>0</DocSecurity>
  <Lines>570</Lines>
  <Paragraphs>159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Rodriguez, Angela Y</cp:lastModifiedBy>
  <cp:revision>5</cp:revision>
  <cp:lastPrinted>2012-07-12T15:48:00Z</cp:lastPrinted>
  <dcterms:created xsi:type="dcterms:W3CDTF">2014-11-06T15:53:00Z</dcterms:created>
  <dcterms:modified xsi:type="dcterms:W3CDTF">2014-11-07T13:52:00Z</dcterms:modified>
</cp:coreProperties>
</file>