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pPr>
        <w:tabs>
          <w:tab w:val="center" w:pos="4680"/>
        </w:tabs>
        <w:suppressAutoHyphens/>
        <w:jc w:val="both"/>
        <w:rPr>
          <w:rFonts w:ascii="Arial" w:hAnsi="Arial"/>
          <w:spacing w:val="-3"/>
          <w:sz w:val="22"/>
        </w:rPr>
      </w:pPr>
      <w:bookmarkStart w:id="0" w:name="_GoBack"/>
      <w:bookmarkEnd w:id="0"/>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w:t>
      </w:r>
      <w:r w:rsidRPr="009271F2">
        <w:rPr>
          <w:rFonts w:ascii="Arial" w:hAnsi="Arial"/>
          <w:spacing w:val="-3"/>
          <w:sz w:val="22"/>
          <w:szCs w:val="22"/>
        </w:rPr>
        <w:lastRenderedPageBreak/>
        <w:t>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w:t>
      </w:r>
      <w:r w:rsidRPr="003C2402">
        <w:rPr>
          <w:rFonts w:ascii="Arial" w:hAnsi="Arial" w:cs="Arial"/>
          <w:sz w:val="22"/>
          <w:szCs w:val="22"/>
        </w:rPr>
        <w:lastRenderedPageBreak/>
        <w:t xml:space="preserve">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w:t>
      </w:r>
      <w:r w:rsidR="00F9759F">
        <w:rPr>
          <w:rFonts w:ascii="Arial" w:hAnsi="Arial"/>
          <w:spacing w:val="-3"/>
          <w:sz w:val="22"/>
        </w:rPr>
        <w:lastRenderedPageBreak/>
        <w:t>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E24702" w:rsidRDefault="00E24702"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lastRenderedPageBreak/>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E24702" w:rsidRDefault="00E24702"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E24702" w:rsidRDefault="00E24702"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sidRPr="00E24702">
        <w:rPr>
          <w:rFonts w:ascii="Arial" w:hAnsi="Arial"/>
          <w:spacing w:val="-3"/>
          <w:sz w:val="22"/>
          <w:highlight w:val="yellow"/>
        </w:rPr>
        <w:t>Email: ___________________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w:t>
      </w:r>
      <w:r w:rsidR="00F9759F" w:rsidRPr="00F848A6">
        <w:rPr>
          <w:rFonts w:ascii="Arial" w:hAnsi="Arial" w:cs="Arial"/>
          <w:sz w:val="22"/>
        </w:rPr>
        <w:lastRenderedPageBreak/>
        <w:t xml:space="preserve">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 xml:space="preserve">cannot resolve pursuant to other provisions of this </w:t>
      </w:r>
      <w:r w:rsidR="00F9759F" w:rsidRPr="00843977">
        <w:rPr>
          <w:rFonts w:ascii="Arial" w:hAnsi="Arial"/>
          <w:sz w:val="22"/>
        </w:rPr>
        <w:lastRenderedPageBreak/>
        <w:t>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AE77CE"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AE77CE" w:rsidRDefault="00AE77CE" w:rsidP="00E673AD">
      <w:pPr>
        <w:tabs>
          <w:tab w:val="left" w:pos="-720"/>
          <w:tab w:val="left" w:pos="0"/>
          <w:tab w:val="left" w:pos="720"/>
        </w:tabs>
        <w:suppressAutoHyphens/>
        <w:ind w:left="1440" w:hanging="720"/>
        <w:jc w:val="both"/>
        <w:rPr>
          <w:rFonts w:ascii="Arial" w:hAnsi="Arial" w:cs="Arial"/>
          <w:sz w:val="22"/>
          <w:szCs w:val="22"/>
        </w:rPr>
      </w:pPr>
    </w:p>
    <w:p w:rsidR="0011418C" w:rsidRPr="0011418C" w:rsidRDefault="0011418C" w:rsidP="0011418C">
      <w:pPr>
        <w:ind w:left="1440"/>
        <w:rPr>
          <w:rFonts w:ascii="Arial" w:eastAsiaTheme="minorHAnsi" w:hAnsi="Arial" w:cs="Arial"/>
          <w:sz w:val="22"/>
          <w:szCs w:val="22"/>
        </w:rPr>
      </w:pPr>
      <w:r w:rsidRPr="0011418C">
        <w:rPr>
          <w:rFonts w:ascii="Arial" w:hAnsi="Arial" w:cs="Arial"/>
          <w:b/>
          <w:sz w:val="22"/>
          <w:szCs w:val="22"/>
        </w:rPr>
        <w:t>U.S. Department of Homeland Security’s E-Verify System</w:t>
      </w:r>
      <w:r>
        <w:rPr>
          <w:rFonts w:ascii="Arial" w:hAnsi="Arial" w:cs="Arial"/>
          <w:b/>
          <w:sz w:val="22"/>
          <w:szCs w:val="22"/>
        </w:rPr>
        <w:t xml:space="preserve">.  </w:t>
      </w:r>
      <w:r w:rsidRPr="0011418C">
        <w:rPr>
          <w:rFonts w:ascii="Arial" w:hAnsi="Arial" w:cs="Arial"/>
          <w:sz w:val="22"/>
          <w:szCs w:val="22"/>
        </w:rPr>
        <w:t>By entering into this Contract, the Contractor certifies and ensures that it utilizes and will continue to utilize, for the term of this Contract, the U.S. Department of Homeland Security’s E-Verify system to determine the eligibility of:</w:t>
      </w:r>
    </w:p>
    <w:p w:rsidR="0011418C" w:rsidRPr="0011418C" w:rsidRDefault="0011418C" w:rsidP="0011418C">
      <w:pPr>
        <w:ind w:left="2880" w:hanging="720"/>
        <w:rPr>
          <w:rFonts w:ascii="Arial" w:hAnsi="Arial" w:cs="Arial"/>
          <w:sz w:val="22"/>
          <w:szCs w:val="22"/>
        </w:rPr>
      </w:pPr>
      <w:r>
        <w:rPr>
          <w:rFonts w:ascii="Arial" w:hAnsi="Arial" w:cs="Arial"/>
          <w:sz w:val="22"/>
          <w:szCs w:val="22"/>
        </w:rPr>
        <w:t>1)</w:t>
      </w:r>
      <w:r>
        <w:rPr>
          <w:rFonts w:ascii="Arial" w:hAnsi="Arial" w:cs="Arial"/>
          <w:sz w:val="22"/>
          <w:szCs w:val="22"/>
        </w:rPr>
        <w:tab/>
      </w:r>
      <w:r w:rsidRPr="0011418C">
        <w:rPr>
          <w:rFonts w:ascii="Arial" w:hAnsi="Arial" w:cs="Arial"/>
          <w:sz w:val="22"/>
          <w:szCs w:val="22"/>
        </w:rPr>
        <w:t xml:space="preserve">All persons employed to perform duties within Texas, during the term of the Contract; and </w:t>
      </w:r>
    </w:p>
    <w:p w:rsidR="0011418C" w:rsidRPr="0011418C" w:rsidRDefault="0011418C" w:rsidP="0011418C">
      <w:pPr>
        <w:ind w:left="288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11418C">
        <w:rPr>
          <w:rFonts w:ascii="Arial" w:hAnsi="Arial" w:cs="Arial"/>
          <w:sz w:val="22"/>
          <w:szCs w:val="22"/>
        </w:rPr>
        <w:t xml:space="preserve">All persons (including subcontractors) assigned by the Respondent to perform work pursuant to the Contract, within the United States of America. </w:t>
      </w:r>
    </w:p>
    <w:p w:rsidR="0011418C" w:rsidRDefault="0011418C" w:rsidP="0011418C">
      <w:pPr>
        <w:ind w:left="1440"/>
        <w:rPr>
          <w:rFonts w:eastAsiaTheme="minorHAnsi"/>
        </w:rPr>
      </w:pPr>
      <w:r w:rsidRPr="0011418C">
        <w:rPr>
          <w:rFonts w:ascii="Arial" w:hAnsi="Arial" w:cs="Arial"/>
          <w:sz w:val="22"/>
          <w:szCs w:val="22"/>
        </w:rPr>
        <w:t>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w:t>
      </w:r>
    </w:p>
    <w:p w:rsidR="0011418C" w:rsidRPr="0011418C" w:rsidRDefault="0011418C" w:rsidP="0011418C">
      <w:pPr>
        <w:ind w:left="1440"/>
        <w:rPr>
          <w:rFonts w:ascii="Arial" w:hAnsi="Arial" w:cs="Arial"/>
          <w:iCs/>
          <w:color w:val="000000"/>
          <w:sz w:val="22"/>
          <w:szCs w:val="22"/>
        </w:rPr>
      </w:pPr>
      <w:r w:rsidRPr="0011418C">
        <w:rPr>
          <w:rStyle w:val="Strong"/>
          <w:rFonts w:ascii="Arial" w:hAnsi="Arial" w:cs="Arial"/>
          <w:sz w:val="22"/>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 xml:space="preserve">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w:t>
      </w:r>
      <w:r w:rsidRPr="002547ED">
        <w:rPr>
          <w:rFonts w:ascii="Arial" w:hAnsi="Arial" w:cs="Arial"/>
          <w:smallCaps/>
          <w:color w:val="000000"/>
          <w:sz w:val="22"/>
          <w:szCs w:val="22"/>
        </w:rPr>
        <w:lastRenderedPageBreak/>
        <w:t>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lastRenderedPageBreak/>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lastRenderedPageBreak/>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xml:space="preserve">.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w:t>
      </w:r>
      <w:r w:rsidR="002D5B57" w:rsidRPr="009622BE">
        <w:rPr>
          <w:rFonts w:ascii="Arial" w:hAnsi="Arial" w:cs="Arial"/>
          <w:sz w:val="22"/>
          <w:szCs w:val="22"/>
        </w:rPr>
        <w:lastRenderedPageBreak/>
        <w:t>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lastRenderedPageBreak/>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44E0D78"/>
    <w:multiLevelType w:val="multilevel"/>
    <w:tmpl w:val="EF481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18C"/>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965"/>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E77CE"/>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4702"/>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paragraph" w:styleId="Heading3">
    <w:name w:val="heading 3"/>
    <w:basedOn w:val="Normal"/>
    <w:next w:val="Normal"/>
    <w:link w:val="Heading3Char"/>
    <w:semiHidden/>
    <w:unhideWhenUsed/>
    <w:qFormat/>
    <w:rsid w:val="001141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iPriority w:val="99"/>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 w:type="character" w:customStyle="1" w:styleId="Heading3Char">
    <w:name w:val="Heading 3 Char"/>
    <w:basedOn w:val="DefaultParagraphFont"/>
    <w:link w:val="Heading3"/>
    <w:semiHidden/>
    <w:rsid w:val="0011418C"/>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paragraph" w:styleId="Heading3">
    <w:name w:val="heading 3"/>
    <w:basedOn w:val="Normal"/>
    <w:next w:val="Normal"/>
    <w:link w:val="Heading3Char"/>
    <w:semiHidden/>
    <w:unhideWhenUsed/>
    <w:qFormat/>
    <w:rsid w:val="001141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iPriority w:val="99"/>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 w:type="character" w:customStyle="1" w:styleId="Heading3Char">
    <w:name w:val="Heading 3 Char"/>
    <w:basedOn w:val="DefaultParagraphFont"/>
    <w:link w:val="Heading3"/>
    <w:semiHidden/>
    <w:rsid w:val="0011418C"/>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188878899">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58271786">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B574-CE52-442B-9D1E-167D3D18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14077</Words>
  <Characters>91785</Characters>
  <Application>Microsoft Office Word</Application>
  <DocSecurity>0</DocSecurity>
  <Lines>3990</Lines>
  <Paragraphs>2075</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103787</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2013-08-27T16:58:00Z</cp:lastPrinted>
  <dcterms:created xsi:type="dcterms:W3CDTF">2015-01-26T14:32:00Z</dcterms:created>
  <dcterms:modified xsi:type="dcterms:W3CDTF">2015-01-26T14:32:00Z</dcterms:modified>
</cp:coreProperties>
</file>