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9C62" w14:textId="77777777" w:rsidR="00F66214" w:rsidRPr="006E6FB5" w:rsidRDefault="00F66214" w:rsidP="00F66214">
      <w:pPr>
        <w:pStyle w:val="Title"/>
        <w:pBdr>
          <w:top w:val="single" w:sz="4" w:space="2" w:color="auto"/>
        </w:pBdr>
      </w:pPr>
      <w:r>
        <w:t>DATA MANAGEMENT AND SHARING PLAN</w:t>
      </w:r>
    </w:p>
    <w:p w14:paraId="33C1D33E" w14:textId="6F5D5423" w:rsidR="00F66214" w:rsidRDefault="00F66214" w:rsidP="00F66214">
      <w:pPr>
        <w:pStyle w:val="HeadingNote"/>
        <w:jc w:val="left"/>
      </w:pPr>
      <w:r>
        <w:t xml:space="preserve">Given that most proposed research involves the generation of scientific data, proposals are subject to the NSF Data Sharing Policy and require submission of a Data Management and Sharing Plan. Data should be findable, accessible, interoperable, and reusable (FAIR). Refer to the guidance on </w:t>
      </w:r>
      <w:hyperlink r:id="rId10" w:history="1">
        <w:r w:rsidRPr="00F66214">
          <w:rPr>
            <w:rStyle w:val="Hyperlink"/>
          </w:rPr>
          <w:t>https://new.nsf.gov/funding/data-management-plan</w:t>
        </w:r>
      </w:hyperlink>
      <w:r>
        <w:t xml:space="preserve"> for developing this plan. The Plan should not exceed two pages. The Plan may be provided in the format shown below. Only the sections appropriate for the project need to be completed. A valid Data Management and Sharing Plan may include only the statement that no detailed plan is needed if the statement is accompanied by a clear justification. The Plan is not intended to circumvent the number of pages that are allowed for the Project Description. </w:t>
      </w:r>
      <w:bookmarkStart w:id="0" w:name="_Hlk105406782"/>
      <w:r w:rsidR="005B11C1" w:rsidRPr="00DF207A">
        <w:rPr>
          <w:highlight w:val="yellow"/>
        </w:rPr>
        <w:t xml:space="preserve">The Plan is recommended not to exceed two </w:t>
      </w:r>
      <w:r w:rsidR="005B11C1" w:rsidRPr="005B11C1">
        <w:rPr>
          <w:highlight w:val="yellow"/>
        </w:rPr>
        <w:t>pages</w:t>
      </w:r>
      <w:bookmarkEnd w:id="0"/>
      <w:r w:rsidR="005B11C1" w:rsidRPr="005B11C1">
        <w:rPr>
          <w:highlight w:val="yellow"/>
        </w:rPr>
        <w:t xml:space="preserve">. </w:t>
      </w:r>
      <w:r w:rsidRPr="005B11C1">
        <w:rPr>
          <w:highlight w:val="yellow"/>
        </w:rPr>
        <w:t>Text in italic should be deleted before submission.</w:t>
      </w:r>
    </w:p>
    <w:p w14:paraId="6190C1B1" w14:textId="77777777" w:rsidR="00F66214" w:rsidRDefault="00F66214" w:rsidP="00F66214"/>
    <w:p w14:paraId="74C7259F" w14:textId="77777777" w:rsidR="006D7331" w:rsidRDefault="006D7331" w:rsidP="006D7331">
      <w:pPr>
        <w:pStyle w:val="DataField11pt-Single"/>
        <w:rPr>
          <w:rStyle w:val="Strong"/>
        </w:rPr>
      </w:pPr>
      <w:r>
        <w:rPr>
          <w:rStyle w:val="Strong"/>
        </w:rPr>
        <w:t>Element 1: Data Type</w:t>
      </w:r>
    </w:p>
    <w:p w14:paraId="16FB4378" w14:textId="77777777" w:rsidR="006D7331" w:rsidRPr="00B54990" w:rsidRDefault="006D7331" w:rsidP="006D7331">
      <w:pPr>
        <w:pStyle w:val="DataField11pt-Single"/>
        <w:numPr>
          <w:ilvl w:val="0"/>
          <w:numId w:val="1"/>
        </w:numPr>
        <w:rPr>
          <w:b/>
          <w:bCs/>
        </w:rPr>
      </w:pPr>
      <w:r w:rsidRPr="00B54990">
        <w:rPr>
          <w:b/>
          <w:bCs/>
        </w:rPr>
        <w:t xml:space="preserve">Types and amount of scientific data expected to be generated in the project: </w:t>
      </w:r>
    </w:p>
    <w:p w14:paraId="40580C10" w14:textId="77777777" w:rsidR="006D7331" w:rsidRPr="00B54990" w:rsidRDefault="006D7331" w:rsidP="006D7331">
      <w:pPr>
        <w:pStyle w:val="DataField11pt-Single"/>
        <w:ind w:left="720"/>
        <w:rPr>
          <w:i/>
          <w:iCs/>
        </w:rPr>
      </w:pPr>
      <w:r w:rsidRPr="419C11A7">
        <w:rPr>
          <w:i/>
          <w:iCs/>
        </w:rPr>
        <w:t xml:space="preserve">Summarize the types and estimated amount of scientific data expected to be generated in the project, </w:t>
      </w:r>
      <w:r>
        <w:br/>
      </w:r>
      <w:r>
        <w:br/>
      </w:r>
    </w:p>
    <w:p w14:paraId="0CD3A7DE" w14:textId="0E4B56AC" w:rsidR="006D7331" w:rsidRPr="00B54990" w:rsidRDefault="00855FA9" w:rsidP="006D7331">
      <w:pPr>
        <w:pStyle w:val="DataField11pt-Single"/>
        <w:numPr>
          <w:ilvl w:val="0"/>
          <w:numId w:val="1"/>
        </w:numPr>
        <w:rPr>
          <w:b/>
          <w:bCs/>
        </w:rPr>
      </w:pPr>
      <w:r>
        <w:rPr>
          <w:b/>
          <w:bCs/>
        </w:rPr>
        <w:t>Of the generated s</w:t>
      </w:r>
      <w:r w:rsidR="006D7331" w:rsidRPr="00B54990">
        <w:rPr>
          <w:b/>
          <w:bCs/>
        </w:rPr>
        <w:t xml:space="preserve">cientific data </w:t>
      </w:r>
      <w:r>
        <w:rPr>
          <w:b/>
          <w:bCs/>
        </w:rPr>
        <w:t xml:space="preserve">in 1.A, the scientific data </w:t>
      </w:r>
      <w:r w:rsidR="004654F8">
        <w:rPr>
          <w:b/>
          <w:bCs/>
        </w:rPr>
        <w:t>that will be</w:t>
      </w:r>
      <w:r w:rsidR="006D7331" w:rsidRPr="00B54990">
        <w:rPr>
          <w:b/>
          <w:bCs/>
        </w:rPr>
        <w:t xml:space="preserve"> preserved and shared, and the </w:t>
      </w:r>
      <w:r w:rsidR="004654F8">
        <w:rPr>
          <w:b/>
          <w:bCs/>
        </w:rPr>
        <w:t xml:space="preserve">associated </w:t>
      </w:r>
      <w:r w:rsidR="006D7331" w:rsidRPr="00B54990">
        <w:rPr>
          <w:b/>
          <w:bCs/>
        </w:rPr>
        <w:t>rationale:</w:t>
      </w:r>
    </w:p>
    <w:p w14:paraId="2EDBB243" w14:textId="31F61BC9" w:rsidR="006D7331" w:rsidRDefault="006D7331" w:rsidP="006D7331">
      <w:pPr>
        <w:pStyle w:val="DataField11pt-Single"/>
        <w:ind w:left="720"/>
      </w:pPr>
      <w:r>
        <w:rPr>
          <w:i/>
          <w:iCs/>
        </w:rPr>
        <w:t xml:space="preserve">Describe which scientific data from the project will be preserved and shared and </w:t>
      </w:r>
      <w:r w:rsidR="004654F8">
        <w:rPr>
          <w:i/>
          <w:iCs/>
        </w:rPr>
        <w:t xml:space="preserve">briefly </w:t>
      </w:r>
      <w:r>
        <w:rPr>
          <w:i/>
          <w:iCs/>
        </w:rPr>
        <w:t xml:space="preserve">provide the rationale for this decision.  </w:t>
      </w:r>
      <w:r>
        <w:br/>
      </w:r>
      <w:r>
        <w:br/>
      </w:r>
    </w:p>
    <w:p w14:paraId="3D527A2C" w14:textId="20FF7948" w:rsidR="006D7331" w:rsidRPr="00EA64D3" w:rsidRDefault="006D7331" w:rsidP="006D7331">
      <w:pPr>
        <w:pStyle w:val="DataField11pt-Single"/>
        <w:numPr>
          <w:ilvl w:val="0"/>
          <w:numId w:val="1"/>
        </w:numPr>
        <w:rPr>
          <w:b/>
          <w:bCs/>
        </w:rPr>
      </w:pPr>
      <w:r w:rsidRPr="00EA64D3">
        <w:rPr>
          <w:b/>
          <w:bCs/>
        </w:rPr>
        <w:t xml:space="preserve">Metadata and associated documentation: </w:t>
      </w:r>
    </w:p>
    <w:p w14:paraId="2025CEEA" w14:textId="6B9062EF" w:rsidR="006D7331" w:rsidRPr="00B1772E" w:rsidRDefault="006D7331" w:rsidP="006D7331">
      <w:pPr>
        <w:pStyle w:val="DataField11pt-Single"/>
        <w:ind w:left="720"/>
        <w:rPr>
          <w:rStyle w:val="Strong"/>
          <w:b w:val="0"/>
          <w:bCs w:val="0"/>
          <w:i/>
          <w:iCs/>
        </w:rPr>
      </w:pPr>
      <w:r w:rsidRPr="00EA64D3">
        <w:rPr>
          <w:i/>
          <w:iCs/>
        </w:rPr>
        <w:t>Briefly list the metadata</w:t>
      </w:r>
      <w:r w:rsidR="00357193">
        <w:rPr>
          <w:i/>
          <w:iCs/>
        </w:rPr>
        <w:t xml:space="preserve"> (provides information about the scientific data) </w:t>
      </w:r>
      <w:r w:rsidR="005A1ECD">
        <w:rPr>
          <w:i/>
          <w:iCs/>
        </w:rPr>
        <w:t>and any</w:t>
      </w:r>
      <w:r w:rsidRPr="00EA64D3">
        <w:rPr>
          <w:i/>
          <w:iCs/>
        </w:rPr>
        <w:t xml:space="preserve"> associated documentation (e.g., study protocols</w:t>
      </w:r>
      <w:r w:rsidR="005A1ECD">
        <w:rPr>
          <w:i/>
          <w:iCs/>
        </w:rPr>
        <w:t>, research methods,</w:t>
      </w:r>
      <w:r w:rsidRPr="00EA64D3">
        <w:rPr>
          <w:i/>
          <w:iCs/>
        </w:rPr>
        <w:t xml:space="preserve"> and data</w:t>
      </w:r>
      <w:r w:rsidR="005A1ECD">
        <w:rPr>
          <w:i/>
          <w:iCs/>
        </w:rPr>
        <w:t>-</w:t>
      </w:r>
      <w:r w:rsidRPr="00EA64D3">
        <w:rPr>
          <w:i/>
          <w:iCs/>
        </w:rPr>
        <w:t>collection instruments) that will be made accessible to facilitate interpretation of the</w:t>
      </w:r>
      <w:r w:rsidR="005A1ECD">
        <w:rPr>
          <w:i/>
          <w:iCs/>
        </w:rPr>
        <w:t xml:space="preserve"> preserved and shared</w:t>
      </w:r>
      <w:r w:rsidRPr="00EA64D3">
        <w:rPr>
          <w:i/>
          <w:iCs/>
        </w:rPr>
        <w:t xml:space="preserve"> scientific data</w:t>
      </w:r>
      <w:r>
        <w:rPr>
          <w:i/>
          <w:iCs/>
        </w:rPr>
        <w:t>.</w:t>
      </w:r>
      <w:r w:rsidRPr="00B1772E">
        <w:rPr>
          <w:i/>
          <w:iCs/>
        </w:rPr>
        <w:br/>
      </w:r>
      <w:r w:rsidRPr="00B1772E">
        <w:rPr>
          <w:i/>
          <w:iCs/>
        </w:rPr>
        <w:br/>
      </w:r>
    </w:p>
    <w:p w14:paraId="657FB42F" w14:textId="77D15144" w:rsidR="006D7331" w:rsidRDefault="006D7331" w:rsidP="006D7331">
      <w:pPr>
        <w:pStyle w:val="DataField11pt-Single"/>
        <w:rPr>
          <w:rStyle w:val="Strong"/>
        </w:rPr>
      </w:pPr>
      <w:r w:rsidRPr="00B721F6">
        <w:rPr>
          <w:rStyle w:val="Strong"/>
        </w:rPr>
        <w:t>Element 2</w:t>
      </w:r>
      <w:r>
        <w:rPr>
          <w:rStyle w:val="Strong"/>
        </w:rPr>
        <w:t xml:space="preserve">: </w:t>
      </w:r>
      <w:r w:rsidRPr="00B721F6">
        <w:rPr>
          <w:rStyle w:val="Strong"/>
        </w:rPr>
        <w:t>Related Tools, Software</w:t>
      </w:r>
      <w:r w:rsidR="009A65DB">
        <w:rPr>
          <w:rStyle w:val="Strong"/>
        </w:rPr>
        <w:t>/</w:t>
      </w:r>
      <w:r w:rsidRPr="00B721F6">
        <w:rPr>
          <w:rStyle w:val="Strong"/>
        </w:rPr>
        <w:t>Code</w:t>
      </w:r>
      <w:r w:rsidR="009A65DB">
        <w:rPr>
          <w:rStyle w:val="Strong"/>
        </w:rPr>
        <w:t>, and/or Other Digital Products</w:t>
      </w:r>
      <w:r>
        <w:rPr>
          <w:rStyle w:val="Strong"/>
        </w:rPr>
        <w:t>:</w:t>
      </w:r>
    </w:p>
    <w:p w14:paraId="53B96656" w14:textId="77777777" w:rsidR="009C1951" w:rsidRPr="009C1951" w:rsidRDefault="00A927FD" w:rsidP="00A927FD">
      <w:pPr>
        <w:pStyle w:val="DataField11pt-Single"/>
        <w:numPr>
          <w:ilvl w:val="0"/>
          <w:numId w:val="5"/>
        </w:numPr>
        <w:rPr>
          <w:rStyle w:val="Strong"/>
          <w:b w:val="0"/>
          <w:bCs w:val="0"/>
        </w:rPr>
      </w:pPr>
      <w:r>
        <w:rPr>
          <w:rStyle w:val="Strong"/>
        </w:rPr>
        <w:t>Specialized t</w:t>
      </w:r>
      <w:r w:rsidR="006D7331" w:rsidRPr="00EA64D3">
        <w:rPr>
          <w:rStyle w:val="Strong"/>
          <w:i/>
          <w:iCs/>
        </w:rPr>
        <w:t>ools</w:t>
      </w:r>
      <w:r w:rsidR="006D7331">
        <w:rPr>
          <w:rStyle w:val="Strong"/>
          <w:i/>
          <w:iCs/>
        </w:rPr>
        <w:t xml:space="preserve">, </w:t>
      </w:r>
      <w:r>
        <w:rPr>
          <w:rStyle w:val="Strong"/>
          <w:i/>
          <w:iCs/>
        </w:rPr>
        <w:t>S</w:t>
      </w:r>
      <w:r w:rsidR="006D7331">
        <w:rPr>
          <w:rStyle w:val="Strong"/>
          <w:i/>
          <w:iCs/>
        </w:rPr>
        <w:t>oftware</w:t>
      </w:r>
      <w:r>
        <w:rPr>
          <w:rStyle w:val="Strong"/>
          <w:i/>
          <w:iCs/>
        </w:rPr>
        <w:t>/C</w:t>
      </w:r>
      <w:r w:rsidR="006D7331">
        <w:rPr>
          <w:rStyle w:val="Strong"/>
          <w:i/>
          <w:iCs/>
        </w:rPr>
        <w:t>ode</w:t>
      </w:r>
      <w:r w:rsidR="009C1951">
        <w:rPr>
          <w:rStyle w:val="Strong"/>
          <w:i/>
          <w:iCs/>
        </w:rPr>
        <w:t xml:space="preserve"> and/or Services for Access or Interpretation</w:t>
      </w:r>
    </w:p>
    <w:p w14:paraId="6983E133" w14:textId="77777777" w:rsidR="000F1DC1" w:rsidRPr="000F1DC1" w:rsidRDefault="000F1DC1" w:rsidP="000F1DC1">
      <w:pPr>
        <w:pStyle w:val="DataField11pt-Single"/>
        <w:ind w:left="720"/>
        <w:rPr>
          <w:rStyle w:val="Strong"/>
          <w:b w:val="0"/>
          <w:bCs w:val="0"/>
          <w:i/>
          <w:iCs/>
        </w:rPr>
      </w:pPr>
      <w:r w:rsidRPr="000F1DC1">
        <w:rPr>
          <w:rStyle w:val="Strong"/>
          <w:b w:val="0"/>
          <w:bCs w:val="0"/>
          <w:i/>
          <w:iCs/>
        </w:rPr>
        <w:t>State whether specialized tools, software/code and/or services are needed to access, manipulate,</w:t>
      </w:r>
    </w:p>
    <w:p w14:paraId="03634603" w14:textId="77777777" w:rsidR="000F1DC1" w:rsidRPr="000F1DC1" w:rsidRDefault="000F1DC1" w:rsidP="000F1DC1">
      <w:pPr>
        <w:pStyle w:val="DataField11pt-Single"/>
        <w:ind w:left="720"/>
        <w:rPr>
          <w:rStyle w:val="Strong"/>
          <w:b w:val="0"/>
          <w:bCs w:val="0"/>
          <w:i/>
          <w:iCs/>
        </w:rPr>
      </w:pPr>
      <w:r w:rsidRPr="000F1DC1">
        <w:rPr>
          <w:rStyle w:val="Strong"/>
          <w:b w:val="0"/>
          <w:bCs w:val="0"/>
          <w:i/>
          <w:iCs/>
        </w:rPr>
        <w:t>or interpret the preserved and shared data, and if so, provide the name(s) of the tool(s) and</w:t>
      </w:r>
    </w:p>
    <w:p w14:paraId="12818476" w14:textId="77777777" w:rsidR="000F1DC1" w:rsidRPr="000F1DC1" w:rsidRDefault="000F1DC1" w:rsidP="000F1DC1">
      <w:pPr>
        <w:pStyle w:val="DataField11pt-Single"/>
        <w:ind w:left="720"/>
        <w:rPr>
          <w:rStyle w:val="Strong"/>
          <w:b w:val="0"/>
          <w:bCs w:val="0"/>
          <w:i/>
          <w:iCs/>
        </w:rPr>
      </w:pPr>
      <w:r w:rsidRPr="000F1DC1">
        <w:rPr>
          <w:rStyle w:val="Strong"/>
          <w:b w:val="0"/>
          <w:bCs w:val="0"/>
          <w:i/>
          <w:iCs/>
        </w:rPr>
        <w:t>software/code or services, and specify how they can be found, accessed, and used (a link may</w:t>
      </w:r>
    </w:p>
    <w:p w14:paraId="7566ED7D" w14:textId="0D2C8849" w:rsidR="009C1951" w:rsidRPr="000F1DC1" w:rsidRDefault="000F1DC1" w:rsidP="000F1DC1">
      <w:pPr>
        <w:pStyle w:val="DataField11pt-Single"/>
        <w:ind w:left="720"/>
        <w:rPr>
          <w:rStyle w:val="Strong"/>
          <w:b w:val="0"/>
          <w:bCs w:val="0"/>
          <w:i/>
          <w:iCs/>
        </w:rPr>
      </w:pPr>
      <w:r w:rsidRPr="000F1DC1">
        <w:rPr>
          <w:rStyle w:val="Strong"/>
          <w:b w:val="0"/>
          <w:bCs w:val="0"/>
          <w:i/>
          <w:iCs/>
        </w:rPr>
        <w:t>be adequate)</w:t>
      </w:r>
      <w:r w:rsidR="00AF0A34">
        <w:rPr>
          <w:rStyle w:val="Strong"/>
          <w:b w:val="0"/>
          <w:bCs w:val="0"/>
          <w:i/>
          <w:iCs/>
        </w:rPr>
        <w:t>.</w:t>
      </w:r>
    </w:p>
    <w:p w14:paraId="08EBC19C" w14:textId="77777777" w:rsidR="009C1951" w:rsidRDefault="009C1951" w:rsidP="009C1951">
      <w:pPr>
        <w:pStyle w:val="DataField11pt-Single"/>
        <w:rPr>
          <w:rStyle w:val="Strong"/>
          <w:b w:val="0"/>
          <w:bCs w:val="0"/>
        </w:rPr>
      </w:pPr>
    </w:p>
    <w:p w14:paraId="5F86B2EF" w14:textId="77777777" w:rsidR="009C1951" w:rsidRPr="009C1951" w:rsidRDefault="009C1951" w:rsidP="009C1951">
      <w:pPr>
        <w:pStyle w:val="DataField11pt-Single"/>
        <w:rPr>
          <w:rStyle w:val="Strong"/>
          <w:b w:val="0"/>
          <w:bCs w:val="0"/>
        </w:rPr>
      </w:pPr>
    </w:p>
    <w:p w14:paraId="580242B0" w14:textId="77777777" w:rsidR="00AF0A34" w:rsidRPr="00AF0A34" w:rsidRDefault="00AF0A34" w:rsidP="009C1951">
      <w:pPr>
        <w:pStyle w:val="DataField11pt-Single"/>
        <w:numPr>
          <w:ilvl w:val="0"/>
          <w:numId w:val="5"/>
        </w:numPr>
        <w:rPr>
          <w:rStyle w:val="Strong"/>
          <w:b w:val="0"/>
          <w:bCs w:val="0"/>
        </w:rPr>
      </w:pPr>
      <w:r w:rsidRPr="00AF0A34">
        <w:rPr>
          <w:rStyle w:val="Strong"/>
          <w:i/>
          <w:iCs/>
        </w:rPr>
        <w:t>Software/Code and/or Other Digital Products Produced:</w:t>
      </w:r>
    </w:p>
    <w:p w14:paraId="6A14017A" w14:textId="77777777" w:rsidR="00E036B6" w:rsidRPr="00E036B6" w:rsidRDefault="00E036B6" w:rsidP="00E036B6">
      <w:pPr>
        <w:pStyle w:val="DataField11pt-Single"/>
        <w:ind w:left="720"/>
        <w:rPr>
          <w:rStyle w:val="Strong"/>
          <w:b w:val="0"/>
          <w:bCs w:val="0"/>
          <w:i/>
          <w:iCs/>
        </w:rPr>
      </w:pPr>
      <w:r w:rsidRPr="00E036B6">
        <w:rPr>
          <w:rStyle w:val="Strong"/>
          <w:b w:val="0"/>
          <w:bCs w:val="0"/>
          <w:i/>
          <w:iCs/>
        </w:rPr>
        <w:t>State software/code and/or other digital products expected to result from the successful execution</w:t>
      </w:r>
    </w:p>
    <w:p w14:paraId="1C89883A" w14:textId="77777777" w:rsidR="00E036B6" w:rsidRPr="00E036B6" w:rsidRDefault="00E036B6" w:rsidP="00E036B6">
      <w:pPr>
        <w:pStyle w:val="DataField11pt-Single"/>
        <w:ind w:left="720"/>
        <w:rPr>
          <w:rStyle w:val="Strong"/>
          <w:b w:val="0"/>
          <w:bCs w:val="0"/>
          <w:i/>
          <w:iCs/>
        </w:rPr>
      </w:pPr>
      <w:r w:rsidRPr="00E036B6">
        <w:rPr>
          <w:rStyle w:val="Strong"/>
          <w:b w:val="0"/>
          <w:bCs w:val="0"/>
          <w:i/>
          <w:iCs/>
        </w:rPr>
        <w:t>of the project and to be distributed according to FAIR principles. Include any license intended to</w:t>
      </w:r>
    </w:p>
    <w:p w14:paraId="633BE9EB" w14:textId="77777777" w:rsidR="00E036B6" w:rsidRPr="00E036B6" w:rsidRDefault="00E036B6" w:rsidP="00E036B6">
      <w:pPr>
        <w:pStyle w:val="DataField11pt-Single"/>
        <w:ind w:left="720"/>
        <w:rPr>
          <w:rStyle w:val="Strong"/>
          <w:b w:val="0"/>
          <w:bCs w:val="0"/>
          <w:i/>
          <w:iCs/>
        </w:rPr>
      </w:pPr>
      <w:r w:rsidRPr="00E036B6">
        <w:rPr>
          <w:rStyle w:val="Strong"/>
          <w:b w:val="0"/>
          <w:bCs w:val="0"/>
          <w:i/>
          <w:iCs/>
        </w:rPr>
        <w:t>be used for the release and a justification for the choice, and how the product will be made</w:t>
      </w:r>
    </w:p>
    <w:p w14:paraId="0C89B5D7" w14:textId="77777777" w:rsidR="00E036B6" w:rsidRPr="00E036B6" w:rsidRDefault="00E036B6" w:rsidP="00E036B6">
      <w:pPr>
        <w:pStyle w:val="DataField11pt-Single"/>
        <w:ind w:left="720"/>
        <w:rPr>
          <w:rStyle w:val="Strong"/>
          <w:b w:val="0"/>
          <w:bCs w:val="0"/>
          <w:i/>
          <w:iCs/>
        </w:rPr>
      </w:pPr>
      <w:r w:rsidRPr="00E036B6">
        <w:rPr>
          <w:rStyle w:val="Strong"/>
          <w:b w:val="0"/>
          <w:bCs w:val="0"/>
          <w:i/>
          <w:iCs/>
        </w:rPr>
        <w:t>accessible (include methods used to advertise to the broader community). Machine learning</w:t>
      </w:r>
    </w:p>
    <w:p w14:paraId="51BFD470" w14:textId="77777777" w:rsidR="00E036B6" w:rsidRDefault="00E036B6" w:rsidP="00E036B6">
      <w:pPr>
        <w:pStyle w:val="DataField11pt-Single"/>
        <w:ind w:left="720"/>
        <w:rPr>
          <w:rStyle w:val="Strong"/>
          <w:b w:val="0"/>
          <w:bCs w:val="0"/>
          <w:i/>
          <w:iCs/>
        </w:rPr>
      </w:pPr>
      <w:r w:rsidRPr="00E036B6">
        <w:rPr>
          <w:rStyle w:val="Strong"/>
          <w:b w:val="0"/>
          <w:bCs w:val="0"/>
          <w:i/>
          <w:iCs/>
        </w:rPr>
        <w:t>models should ideally be distributed along with associated training data.</w:t>
      </w:r>
    </w:p>
    <w:p w14:paraId="6F304C5B" w14:textId="3F238C08" w:rsidR="006D7331" w:rsidRPr="009C1951" w:rsidRDefault="006D7331" w:rsidP="00E036B6">
      <w:pPr>
        <w:pStyle w:val="DataField11pt-Single"/>
        <w:ind w:left="720"/>
        <w:rPr>
          <w:rStyle w:val="Strong"/>
          <w:b w:val="0"/>
          <w:bCs w:val="0"/>
        </w:rPr>
      </w:pPr>
      <w:r w:rsidRPr="00E036B6">
        <w:rPr>
          <w:rStyle w:val="Strong"/>
          <w:b w:val="0"/>
          <w:bCs w:val="0"/>
        </w:rPr>
        <w:br/>
      </w:r>
    </w:p>
    <w:p w14:paraId="302E05A7" w14:textId="77777777" w:rsidR="00C10783" w:rsidRDefault="006D7331" w:rsidP="00C10783">
      <w:pPr>
        <w:pStyle w:val="DataField11pt-Single"/>
        <w:rPr>
          <w:rStyle w:val="Strong"/>
        </w:rPr>
      </w:pPr>
      <w:r w:rsidRPr="419C11A7">
        <w:rPr>
          <w:rStyle w:val="Strong"/>
        </w:rPr>
        <w:t xml:space="preserve">Element 3: </w:t>
      </w:r>
      <w:r w:rsidR="00C10783" w:rsidRPr="00C10783">
        <w:rPr>
          <w:rStyle w:val="Strong"/>
        </w:rPr>
        <w:t>Data Standards for Interoperability:</w:t>
      </w:r>
    </w:p>
    <w:p w14:paraId="7BE85F0F" w14:textId="77777777" w:rsidR="00C10783" w:rsidRPr="00C10783" w:rsidRDefault="00C10783" w:rsidP="00C10783">
      <w:pPr>
        <w:pStyle w:val="DataField11pt-Single"/>
        <w:ind w:left="720"/>
        <w:rPr>
          <w:rStyle w:val="Strong"/>
          <w:b w:val="0"/>
          <w:bCs w:val="0"/>
          <w:i/>
          <w:iCs/>
        </w:rPr>
      </w:pPr>
      <w:r w:rsidRPr="00C10783">
        <w:rPr>
          <w:rStyle w:val="Strong"/>
          <w:b w:val="0"/>
          <w:bCs w:val="0"/>
          <w:i/>
          <w:iCs/>
        </w:rPr>
        <w:t>State what common data standards will be applied to the preserved and shared scientific data,</w:t>
      </w:r>
    </w:p>
    <w:p w14:paraId="1C93B59E" w14:textId="77777777" w:rsidR="00C10783" w:rsidRPr="00C10783" w:rsidRDefault="00C10783" w:rsidP="00C10783">
      <w:pPr>
        <w:pStyle w:val="DataField11pt-Single"/>
        <w:ind w:left="720"/>
        <w:rPr>
          <w:rStyle w:val="Strong"/>
          <w:b w:val="0"/>
          <w:bCs w:val="0"/>
          <w:i/>
          <w:iCs/>
        </w:rPr>
      </w:pPr>
      <w:r w:rsidRPr="00C10783">
        <w:rPr>
          <w:rStyle w:val="Strong"/>
          <w:b w:val="0"/>
          <w:bCs w:val="0"/>
          <w:i/>
          <w:iCs/>
        </w:rPr>
        <w:t>and associated metadata to enable interoperability of datasets and resources and describe how</w:t>
      </w:r>
    </w:p>
    <w:p w14:paraId="540DE5A3" w14:textId="77777777" w:rsidR="00C10783" w:rsidRDefault="00C10783" w:rsidP="00C10783">
      <w:pPr>
        <w:pStyle w:val="DataField11pt-Single"/>
        <w:ind w:left="720"/>
        <w:rPr>
          <w:rStyle w:val="Strong"/>
          <w:b w:val="0"/>
          <w:bCs w:val="0"/>
          <w:i/>
          <w:iCs/>
        </w:rPr>
      </w:pPr>
      <w:r w:rsidRPr="00C10783">
        <w:rPr>
          <w:rStyle w:val="Strong"/>
          <w:b w:val="0"/>
          <w:bCs w:val="0"/>
          <w:i/>
          <w:iCs/>
        </w:rPr>
        <w:t>these data standards will be applied. If applicable, indicate that no consensus standards exist.</w:t>
      </w:r>
    </w:p>
    <w:p w14:paraId="63A9E17F" w14:textId="59776295" w:rsidR="006D7331" w:rsidRPr="0088073A" w:rsidRDefault="006D7331" w:rsidP="00C10783">
      <w:pPr>
        <w:pStyle w:val="DataField11pt-Single"/>
        <w:ind w:left="720"/>
        <w:rPr>
          <w:rStyle w:val="Strong"/>
          <w:b w:val="0"/>
          <w:bCs w:val="0"/>
        </w:rPr>
      </w:pPr>
      <w:r>
        <w:br/>
      </w:r>
    </w:p>
    <w:p w14:paraId="1A8A1EFA" w14:textId="77777777" w:rsidR="00D52DB7" w:rsidRDefault="006D7331" w:rsidP="00D52DB7">
      <w:pPr>
        <w:pStyle w:val="DataField11pt-Single"/>
        <w:rPr>
          <w:rStyle w:val="Strong"/>
        </w:rPr>
      </w:pPr>
      <w:r>
        <w:rPr>
          <w:rStyle w:val="Strong"/>
        </w:rPr>
        <w:t xml:space="preserve">Element 4: </w:t>
      </w:r>
      <w:r w:rsidR="00D52DB7" w:rsidRPr="00D52DB7">
        <w:rPr>
          <w:rStyle w:val="Strong"/>
        </w:rPr>
        <w:t>Data Preservation, Access, Reuse, and Associated Timelines</w:t>
      </w:r>
    </w:p>
    <w:p w14:paraId="49A261BA" w14:textId="77777777" w:rsidR="009713F6" w:rsidRDefault="009713F6" w:rsidP="009713F6">
      <w:pPr>
        <w:pStyle w:val="DataField11pt-Single"/>
        <w:numPr>
          <w:ilvl w:val="0"/>
          <w:numId w:val="2"/>
        </w:numPr>
        <w:rPr>
          <w:b/>
          <w:bCs/>
        </w:rPr>
      </w:pPr>
      <w:r w:rsidRPr="009713F6">
        <w:rPr>
          <w:b/>
          <w:bCs/>
        </w:rPr>
        <w:t>Repository where scientific data and metadata will be available for reuse:</w:t>
      </w:r>
    </w:p>
    <w:p w14:paraId="5C124A4C" w14:textId="77777777" w:rsidR="00B066B9" w:rsidRPr="00B066B9" w:rsidRDefault="00B066B9" w:rsidP="00B066B9">
      <w:pPr>
        <w:pStyle w:val="DataField11pt-Single"/>
        <w:ind w:left="720"/>
        <w:rPr>
          <w:i/>
          <w:iCs/>
        </w:rPr>
      </w:pPr>
      <w:r w:rsidRPr="00B066B9">
        <w:rPr>
          <w:i/>
          <w:iCs/>
        </w:rPr>
        <w:t>Provide the name of the repository(</w:t>
      </w:r>
      <w:proofErr w:type="spellStart"/>
      <w:r w:rsidRPr="00B066B9">
        <w:rPr>
          <w:i/>
          <w:iCs/>
        </w:rPr>
        <w:t>ies</w:t>
      </w:r>
      <w:proofErr w:type="spellEnd"/>
      <w:r w:rsidRPr="00B066B9">
        <w:rPr>
          <w:i/>
          <w:iCs/>
        </w:rPr>
        <w:t>) from which preserved and shared scientific data and</w:t>
      </w:r>
    </w:p>
    <w:p w14:paraId="58011CF8" w14:textId="226A3E3F" w:rsidR="0038355C" w:rsidRPr="00930149" w:rsidRDefault="00B066B9" w:rsidP="0038355C">
      <w:pPr>
        <w:pStyle w:val="DataField11pt-Single"/>
        <w:ind w:left="720"/>
        <w:rPr>
          <w:rStyle w:val="Hyperlink"/>
          <w:i/>
          <w:iCs/>
        </w:rPr>
      </w:pPr>
      <w:r w:rsidRPr="00B066B9">
        <w:rPr>
          <w:i/>
          <w:iCs/>
        </w:rPr>
        <w:t xml:space="preserve">metadata arising from the project will be available for reuse; </w:t>
      </w:r>
      <w:r w:rsidR="0038355C" w:rsidRPr="0038355C">
        <w:rPr>
          <w:i/>
          <w:iCs/>
        </w:rPr>
        <w:t xml:space="preserve">see </w:t>
      </w:r>
      <w:r w:rsidR="00930149">
        <w:rPr>
          <w:i/>
          <w:iCs/>
        </w:rPr>
        <w:fldChar w:fldCharType="begin"/>
      </w:r>
      <w:r w:rsidR="00930149">
        <w:rPr>
          <w:i/>
          <w:iCs/>
        </w:rPr>
        <w:instrText xml:space="preserve"> HYPERLINK "https://www.nsf.gov/pubs/2022/nsf22055/nsf22055.jsp" </w:instrText>
      </w:r>
      <w:r w:rsidR="00930149">
        <w:rPr>
          <w:i/>
          <w:iCs/>
        </w:rPr>
        <w:fldChar w:fldCharType="separate"/>
      </w:r>
      <w:r w:rsidR="0038355C" w:rsidRPr="00930149">
        <w:rPr>
          <w:rStyle w:val="Hyperlink"/>
          <w:i/>
          <w:iCs/>
        </w:rPr>
        <w:t>Dear Colleague Letter: Effective</w:t>
      </w:r>
    </w:p>
    <w:p w14:paraId="3DC13135" w14:textId="556855FD" w:rsidR="0038355C" w:rsidRPr="004B1640" w:rsidRDefault="0038355C" w:rsidP="0038355C">
      <w:pPr>
        <w:pStyle w:val="DataField11pt-Single"/>
        <w:ind w:left="720"/>
        <w:rPr>
          <w:rStyle w:val="Hyperlink"/>
          <w:i/>
          <w:iCs/>
        </w:rPr>
      </w:pPr>
      <w:r w:rsidRPr="00930149">
        <w:rPr>
          <w:rStyle w:val="Hyperlink"/>
          <w:i/>
          <w:iCs/>
        </w:rPr>
        <w:t>Practices for Making Research Data Discoverable and Citable (Data Sharing)</w:t>
      </w:r>
      <w:r w:rsidR="00930149">
        <w:rPr>
          <w:i/>
          <w:iCs/>
        </w:rPr>
        <w:fldChar w:fldCharType="end"/>
      </w:r>
      <w:r w:rsidRPr="0038355C">
        <w:rPr>
          <w:i/>
          <w:iCs/>
        </w:rPr>
        <w:t xml:space="preserve"> and </w:t>
      </w:r>
      <w:r w:rsidR="004B1640">
        <w:rPr>
          <w:i/>
          <w:iCs/>
        </w:rPr>
        <w:fldChar w:fldCharType="begin"/>
      </w:r>
      <w:r w:rsidR="004B1640">
        <w:rPr>
          <w:i/>
          <w:iCs/>
        </w:rPr>
        <w:instrText xml:space="preserve"> HYPERLINK "https://repository.si.edu/handle/10088/113528" </w:instrText>
      </w:r>
      <w:r w:rsidR="004B1640">
        <w:rPr>
          <w:i/>
          <w:iCs/>
        </w:rPr>
        <w:fldChar w:fldCharType="separate"/>
      </w:r>
      <w:r w:rsidRPr="004B1640">
        <w:rPr>
          <w:rStyle w:val="Hyperlink"/>
          <w:i/>
          <w:iCs/>
        </w:rPr>
        <w:t>Desirable</w:t>
      </w:r>
    </w:p>
    <w:p w14:paraId="3A555E5D" w14:textId="2370351A" w:rsidR="00B066B9" w:rsidRDefault="0038355C" w:rsidP="0038355C">
      <w:pPr>
        <w:pStyle w:val="DataField11pt-Single"/>
        <w:ind w:left="720"/>
        <w:rPr>
          <w:i/>
          <w:iCs/>
        </w:rPr>
      </w:pPr>
      <w:r w:rsidRPr="004B1640">
        <w:rPr>
          <w:rStyle w:val="Hyperlink"/>
          <w:i/>
          <w:iCs/>
        </w:rPr>
        <w:t>Characteristics of Data Repositories for Federally Funded Research</w:t>
      </w:r>
      <w:r w:rsidR="004B1640">
        <w:rPr>
          <w:i/>
          <w:iCs/>
        </w:rPr>
        <w:fldChar w:fldCharType="end"/>
      </w:r>
      <w:r w:rsidRPr="0038355C">
        <w:rPr>
          <w:i/>
          <w:iCs/>
        </w:rPr>
        <w:t>.</w:t>
      </w:r>
    </w:p>
    <w:p w14:paraId="60C6F9F4" w14:textId="77777777" w:rsidR="00B066B9" w:rsidRDefault="00B066B9" w:rsidP="00B066B9">
      <w:pPr>
        <w:pStyle w:val="DataField11pt-Single"/>
        <w:ind w:left="720"/>
        <w:rPr>
          <w:i/>
          <w:iCs/>
        </w:rPr>
      </w:pPr>
    </w:p>
    <w:p w14:paraId="6A2D580D" w14:textId="77777777" w:rsidR="009B7672" w:rsidRDefault="009B7672" w:rsidP="00B066B9">
      <w:pPr>
        <w:pStyle w:val="DataField11pt-Single"/>
        <w:ind w:left="720"/>
        <w:rPr>
          <w:i/>
          <w:iCs/>
        </w:rPr>
      </w:pPr>
    </w:p>
    <w:p w14:paraId="4B377110" w14:textId="5121804E" w:rsidR="006D7331" w:rsidRPr="00EA64D3" w:rsidRDefault="006D7331" w:rsidP="00E53AFE">
      <w:pPr>
        <w:pStyle w:val="DataField11pt-Single"/>
        <w:numPr>
          <w:ilvl w:val="0"/>
          <w:numId w:val="2"/>
        </w:numPr>
        <w:rPr>
          <w:b/>
          <w:bCs/>
        </w:rPr>
      </w:pPr>
      <w:r w:rsidRPr="00EA64D3">
        <w:rPr>
          <w:b/>
          <w:bCs/>
        </w:rPr>
        <w:lastRenderedPageBreak/>
        <w:t>How scientific data will be findable and identifiable:</w:t>
      </w:r>
      <w:r>
        <w:t xml:space="preserve"> </w:t>
      </w:r>
    </w:p>
    <w:p w14:paraId="28F95A4A" w14:textId="1978C78A" w:rsidR="006D7331" w:rsidRPr="00B721F6" w:rsidRDefault="006D7331" w:rsidP="006D7331">
      <w:pPr>
        <w:pStyle w:val="DataField11pt-Single"/>
        <w:ind w:left="720"/>
        <w:rPr>
          <w:b/>
          <w:bCs/>
        </w:rPr>
      </w:pPr>
      <w:r w:rsidRPr="00EA64D3">
        <w:rPr>
          <w:i/>
          <w:iCs/>
        </w:rPr>
        <w:t xml:space="preserve">Describe how the scientific data will be findable and identifiable, i.e., via a persistent unique identifier </w:t>
      </w:r>
      <w:r w:rsidR="00E53AFE" w:rsidRPr="00E53AFE">
        <w:rPr>
          <w:i/>
          <w:iCs/>
        </w:rPr>
        <w:t>(e.g., DOI), listing in a registry, or other standard indexing techniques.</w:t>
      </w:r>
      <w:r>
        <w:br/>
      </w:r>
    </w:p>
    <w:p w14:paraId="01099CCF" w14:textId="7D8267EA" w:rsidR="006D7331" w:rsidRDefault="006D7331" w:rsidP="006D7331">
      <w:pPr>
        <w:pStyle w:val="DataField11pt-Single"/>
        <w:numPr>
          <w:ilvl w:val="0"/>
          <w:numId w:val="2"/>
        </w:numPr>
        <w:rPr>
          <w:b/>
          <w:bCs/>
        </w:rPr>
      </w:pPr>
      <w:r w:rsidRPr="419C11A7">
        <w:rPr>
          <w:b/>
          <w:bCs/>
        </w:rPr>
        <w:t xml:space="preserve">When and </w:t>
      </w:r>
      <w:r w:rsidR="00891440">
        <w:rPr>
          <w:b/>
          <w:bCs/>
        </w:rPr>
        <w:t xml:space="preserve">for </w:t>
      </w:r>
      <w:r w:rsidRPr="419C11A7">
        <w:rPr>
          <w:b/>
          <w:bCs/>
        </w:rPr>
        <w:t xml:space="preserve">how long the scientific data will be made available: </w:t>
      </w:r>
    </w:p>
    <w:p w14:paraId="38FAD68D" w14:textId="77777777" w:rsidR="00891440" w:rsidRPr="00891440" w:rsidRDefault="00891440" w:rsidP="00891440">
      <w:pPr>
        <w:pStyle w:val="DataField11pt-Single"/>
        <w:ind w:left="720"/>
        <w:rPr>
          <w:i/>
          <w:iCs/>
        </w:rPr>
      </w:pPr>
      <w:r w:rsidRPr="00891440">
        <w:rPr>
          <w:i/>
          <w:iCs/>
        </w:rPr>
        <w:t>Describe when the scientific data will be made broadly available (i.e., no later than when an</w:t>
      </w:r>
    </w:p>
    <w:p w14:paraId="0A05BF5C" w14:textId="77777777" w:rsidR="00891440" w:rsidRPr="00891440" w:rsidRDefault="00891440" w:rsidP="00891440">
      <w:pPr>
        <w:pStyle w:val="DataField11pt-Single"/>
        <w:ind w:left="720"/>
        <w:rPr>
          <w:i/>
          <w:iCs/>
        </w:rPr>
      </w:pPr>
      <w:r w:rsidRPr="00891440">
        <w:rPr>
          <w:i/>
          <w:iCs/>
        </w:rPr>
        <w:t>associated publication appears or end of the performance period, whichever comes first) and for</w:t>
      </w:r>
    </w:p>
    <w:p w14:paraId="68D14F18" w14:textId="198AE1A0" w:rsidR="006D7331" w:rsidRPr="00081CAD" w:rsidRDefault="00891440" w:rsidP="00891440">
      <w:pPr>
        <w:pStyle w:val="DataField11pt-Single"/>
        <w:ind w:left="720"/>
        <w:rPr>
          <w:b/>
          <w:bCs/>
        </w:rPr>
      </w:pPr>
      <w:r w:rsidRPr="00891440">
        <w:rPr>
          <w:i/>
          <w:iCs/>
        </w:rPr>
        <w:t>how long data will be available. Include any external factors that may affect time of appearance.</w:t>
      </w:r>
      <w:r w:rsidR="006D7331">
        <w:br/>
      </w:r>
      <w:r w:rsidR="006D7331">
        <w:br/>
      </w:r>
    </w:p>
    <w:p w14:paraId="40D437C4" w14:textId="5AA634E0" w:rsidR="006D7331" w:rsidRDefault="006D7331" w:rsidP="006D7331">
      <w:pPr>
        <w:pStyle w:val="DataField11pt-Single"/>
        <w:rPr>
          <w:b/>
          <w:bCs/>
        </w:rPr>
      </w:pPr>
      <w:r>
        <w:rPr>
          <w:b/>
          <w:bCs/>
        </w:rPr>
        <w:t xml:space="preserve">Element 5: </w:t>
      </w:r>
      <w:r w:rsidR="0079268D" w:rsidRPr="0079268D">
        <w:rPr>
          <w:b/>
          <w:bCs/>
        </w:rPr>
        <w:t>Factors Affecting Access, Distribution, or Reuse</w:t>
      </w:r>
      <w:r w:rsidR="0079268D">
        <w:rPr>
          <w:b/>
          <w:bCs/>
        </w:rPr>
        <w:t>:</w:t>
      </w:r>
    </w:p>
    <w:p w14:paraId="3888279F" w14:textId="77777777" w:rsidR="00CC3252" w:rsidRPr="00CC3252" w:rsidRDefault="006D7331" w:rsidP="00CC3252">
      <w:pPr>
        <w:pStyle w:val="DataField11pt-Single"/>
        <w:numPr>
          <w:ilvl w:val="0"/>
          <w:numId w:val="3"/>
        </w:numPr>
        <w:shd w:val="clear" w:color="auto" w:fill="FFFFFF" w:themeFill="background1"/>
        <w:rPr>
          <w:i/>
          <w:iCs/>
        </w:rPr>
      </w:pPr>
      <w:r w:rsidRPr="00CC3252">
        <w:rPr>
          <w:b/>
          <w:bCs/>
        </w:rPr>
        <w:t>Factors affecting subsequent access, distribution, or reuse of scientific data:</w:t>
      </w:r>
      <w:r w:rsidRPr="00CC3252">
        <w:rPr>
          <w:b/>
          <w:bCs/>
        </w:rPr>
        <w:br/>
      </w:r>
      <w:r w:rsidR="00CC3252" w:rsidRPr="00CC3252">
        <w:rPr>
          <w:i/>
          <w:iCs/>
        </w:rPr>
        <w:t>NSF expects that in drafting Plans, researchers should maximize the appropriate sharing of</w:t>
      </w:r>
    </w:p>
    <w:p w14:paraId="5A64D6F3" w14:textId="77777777" w:rsidR="00CC3252" w:rsidRPr="00CC3252" w:rsidRDefault="00CC3252" w:rsidP="00CC3252">
      <w:pPr>
        <w:pStyle w:val="DataField11pt-Single"/>
        <w:shd w:val="clear" w:color="auto" w:fill="FFFFFF" w:themeFill="background1"/>
        <w:ind w:left="720"/>
        <w:rPr>
          <w:i/>
          <w:iCs/>
        </w:rPr>
      </w:pPr>
      <w:r w:rsidRPr="00CC3252">
        <w:rPr>
          <w:i/>
          <w:iCs/>
        </w:rPr>
        <w:t>scientific data. Describe and clearly justify any applicable factors or data-use limitations affecting</w:t>
      </w:r>
    </w:p>
    <w:p w14:paraId="0D4BDF23" w14:textId="25AF9719" w:rsidR="006D7331" w:rsidRPr="009730EE" w:rsidRDefault="00CC3252" w:rsidP="009730EE">
      <w:pPr>
        <w:pStyle w:val="DataField11pt-Single"/>
        <w:shd w:val="clear" w:color="auto" w:fill="FFFFFF" w:themeFill="background1"/>
        <w:ind w:left="720"/>
        <w:rPr>
          <w:rStyle w:val="Strong"/>
          <w:b w:val="0"/>
          <w:bCs w:val="0"/>
          <w:i/>
          <w:iCs/>
        </w:rPr>
      </w:pPr>
      <w:r w:rsidRPr="00CC3252">
        <w:rPr>
          <w:i/>
          <w:iCs/>
        </w:rPr>
        <w:t>subsequent access, distribution, or reuse of scientific data.</w:t>
      </w:r>
      <w:r w:rsidR="006D7331" w:rsidRPr="009730EE">
        <w:rPr>
          <w:rStyle w:val="Strong"/>
          <w:i/>
          <w:iCs/>
        </w:rPr>
        <w:br/>
      </w:r>
    </w:p>
    <w:p w14:paraId="32BBF81D" w14:textId="77777777" w:rsidR="006D7331" w:rsidRPr="00EA64D3" w:rsidRDefault="006D7331" w:rsidP="006D7331">
      <w:pPr>
        <w:pStyle w:val="DataField11pt-Single"/>
        <w:numPr>
          <w:ilvl w:val="0"/>
          <w:numId w:val="3"/>
        </w:numPr>
        <w:rPr>
          <w:b/>
          <w:bCs/>
        </w:rPr>
      </w:pPr>
      <w:r w:rsidRPr="00EA64D3">
        <w:rPr>
          <w:b/>
          <w:bCs/>
        </w:rPr>
        <w:t xml:space="preserve">Protections for privacy, rights, and confidentiality of human research participants: </w:t>
      </w:r>
    </w:p>
    <w:p w14:paraId="4A0CF052" w14:textId="77777777" w:rsidR="009730EE" w:rsidRPr="009730EE" w:rsidRDefault="009730EE" w:rsidP="009730EE">
      <w:pPr>
        <w:pStyle w:val="DataField11pt-Single"/>
        <w:ind w:firstLine="720"/>
        <w:rPr>
          <w:i/>
          <w:iCs/>
        </w:rPr>
      </w:pPr>
      <w:r w:rsidRPr="009730EE">
        <w:rPr>
          <w:i/>
          <w:iCs/>
        </w:rPr>
        <w:t>If generating data derived from humans, describe how the privacy, rights, and confidentiality of</w:t>
      </w:r>
    </w:p>
    <w:p w14:paraId="6D6C45C4" w14:textId="77777777" w:rsidR="009730EE" w:rsidRPr="009730EE" w:rsidRDefault="009730EE" w:rsidP="009730EE">
      <w:pPr>
        <w:pStyle w:val="DataField11pt-Single"/>
        <w:ind w:firstLine="720"/>
        <w:rPr>
          <w:i/>
          <w:iCs/>
        </w:rPr>
      </w:pPr>
      <w:r w:rsidRPr="009730EE">
        <w:rPr>
          <w:i/>
          <w:iCs/>
        </w:rPr>
        <w:t>human research participants will be protected (e.g., through de-identification, Certificates of</w:t>
      </w:r>
    </w:p>
    <w:p w14:paraId="6DBD5115" w14:textId="77777777" w:rsidR="009730EE" w:rsidRPr="009730EE" w:rsidRDefault="009730EE" w:rsidP="009730EE">
      <w:pPr>
        <w:pStyle w:val="DataField11pt-Single"/>
        <w:ind w:firstLine="720"/>
        <w:rPr>
          <w:i/>
          <w:iCs/>
        </w:rPr>
      </w:pPr>
      <w:r w:rsidRPr="009730EE">
        <w:rPr>
          <w:i/>
          <w:iCs/>
        </w:rPr>
        <w:t>Confidentiality, and other protective measures). You should include in Element 5A above factors</w:t>
      </w:r>
    </w:p>
    <w:p w14:paraId="12DC8D97" w14:textId="77777777" w:rsidR="009730EE" w:rsidRPr="009730EE" w:rsidRDefault="009730EE" w:rsidP="0095002A">
      <w:pPr>
        <w:pStyle w:val="DataField11pt-Single"/>
        <w:ind w:firstLine="720"/>
        <w:rPr>
          <w:i/>
          <w:iCs/>
        </w:rPr>
      </w:pPr>
      <w:r w:rsidRPr="009730EE">
        <w:rPr>
          <w:i/>
          <w:iCs/>
        </w:rPr>
        <w:t>related to informed consent, privacy and confidentiality protections that may limit access,</w:t>
      </w:r>
    </w:p>
    <w:p w14:paraId="20B65F16" w14:textId="3230902E" w:rsidR="006D7331" w:rsidRDefault="009730EE" w:rsidP="0095002A">
      <w:pPr>
        <w:pStyle w:val="DataField11pt-Single"/>
        <w:ind w:firstLine="720"/>
      </w:pPr>
      <w:r w:rsidRPr="009730EE">
        <w:rPr>
          <w:i/>
          <w:iCs/>
        </w:rPr>
        <w:t>distribution, or reuse of such data.</w:t>
      </w:r>
    </w:p>
    <w:p w14:paraId="0F6A8578" w14:textId="77777777" w:rsidR="006D7331" w:rsidRDefault="006D7331" w:rsidP="006D7331">
      <w:pPr>
        <w:pStyle w:val="DataField11pt-Single"/>
      </w:pPr>
    </w:p>
    <w:p w14:paraId="048F0219" w14:textId="77777777" w:rsidR="006D7331" w:rsidRDefault="006D7331" w:rsidP="006D7331">
      <w:pPr>
        <w:pStyle w:val="DataField11pt-Single"/>
      </w:pPr>
    </w:p>
    <w:p w14:paraId="7D5020B7" w14:textId="70E902FA" w:rsidR="006D7331" w:rsidRPr="00AB741C" w:rsidRDefault="006D7331" w:rsidP="006D7331">
      <w:pPr>
        <w:pStyle w:val="DataField11pt-Single"/>
        <w:rPr>
          <w:b/>
          <w:bCs/>
          <w:szCs w:val="22"/>
        </w:rPr>
      </w:pPr>
      <w:r w:rsidRPr="00AB741C">
        <w:rPr>
          <w:b/>
          <w:bCs/>
          <w:szCs w:val="22"/>
        </w:rPr>
        <w:t xml:space="preserve">Element 6: </w:t>
      </w:r>
      <w:r w:rsidR="0095002A" w:rsidRPr="0095002A">
        <w:rPr>
          <w:b/>
          <w:bCs/>
          <w:szCs w:val="22"/>
        </w:rPr>
        <w:t>Review and Updating of the Data Management and Sharing Plan:</w:t>
      </w:r>
    </w:p>
    <w:p w14:paraId="3A73EEAE" w14:textId="77777777" w:rsidR="00194091" w:rsidRPr="00194091" w:rsidRDefault="00194091" w:rsidP="00194091">
      <w:pPr>
        <w:ind w:firstLine="720"/>
        <w:rPr>
          <w:rFonts w:ascii="Arial" w:hAnsi="Arial" w:cs="Arial"/>
          <w:i/>
          <w:iCs/>
          <w:sz w:val="22"/>
          <w:szCs w:val="22"/>
        </w:rPr>
      </w:pPr>
      <w:r w:rsidRPr="00194091">
        <w:rPr>
          <w:rFonts w:ascii="Arial" w:hAnsi="Arial" w:cs="Arial"/>
          <w:i/>
          <w:iCs/>
          <w:sz w:val="22"/>
          <w:szCs w:val="22"/>
        </w:rPr>
        <w:t>The Data Management and sharing Plan should be a living document that is updated during the</w:t>
      </w:r>
    </w:p>
    <w:p w14:paraId="0C98592A" w14:textId="77777777" w:rsidR="00194091" w:rsidRPr="00194091" w:rsidRDefault="00194091" w:rsidP="00194091">
      <w:pPr>
        <w:ind w:firstLine="720"/>
        <w:rPr>
          <w:rFonts w:ascii="Arial" w:hAnsi="Arial" w:cs="Arial"/>
          <w:i/>
          <w:iCs/>
          <w:sz w:val="22"/>
          <w:szCs w:val="22"/>
        </w:rPr>
      </w:pPr>
      <w:r w:rsidRPr="00194091">
        <w:rPr>
          <w:rFonts w:ascii="Arial" w:hAnsi="Arial" w:cs="Arial"/>
          <w:i/>
          <w:iCs/>
          <w:sz w:val="22"/>
          <w:szCs w:val="22"/>
        </w:rPr>
        <w:t>lifetime of the award, as needed. Describe how and when this Plan will be reviewed, re-evaluated,</w:t>
      </w:r>
    </w:p>
    <w:p w14:paraId="4BA14C77" w14:textId="77777777" w:rsidR="00194091" w:rsidRPr="00194091" w:rsidRDefault="00194091" w:rsidP="00194091">
      <w:pPr>
        <w:ind w:firstLine="720"/>
        <w:rPr>
          <w:rFonts w:ascii="Arial" w:hAnsi="Arial" w:cs="Arial"/>
          <w:i/>
          <w:iCs/>
          <w:sz w:val="22"/>
          <w:szCs w:val="22"/>
        </w:rPr>
      </w:pPr>
      <w:r w:rsidRPr="00194091">
        <w:rPr>
          <w:rFonts w:ascii="Arial" w:hAnsi="Arial" w:cs="Arial"/>
          <w:i/>
          <w:iCs/>
          <w:sz w:val="22"/>
          <w:szCs w:val="22"/>
        </w:rPr>
        <w:t>and updated, to ensure it best serves its purpose. For example, updates to the Plan can be</w:t>
      </w:r>
    </w:p>
    <w:p w14:paraId="48239AD9" w14:textId="7CE2454C" w:rsidR="00014012" w:rsidRPr="00437275" w:rsidRDefault="00194091" w:rsidP="00437275">
      <w:pPr>
        <w:ind w:firstLine="720"/>
        <w:rPr>
          <w:rFonts w:ascii="Arial" w:hAnsi="Arial" w:cs="Arial"/>
          <w:color w:val="C45911" w:themeColor="accent2" w:themeShade="BF"/>
          <w:sz w:val="22"/>
          <w:szCs w:val="22"/>
        </w:rPr>
      </w:pPr>
      <w:r w:rsidRPr="00194091">
        <w:rPr>
          <w:rFonts w:ascii="Arial" w:hAnsi="Arial" w:cs="Arial"/>
          <w:i/>
          <w:iCs/>
          <w:sz w:val="22"/>
          <w:szCs w:val="22"/>
        </w:rPr>
        <w:t>reported in Annual Project Reports.</w:t>
      </w:r>
      <w:r w:rsidR="006D7331" w:rsidRPr="00AB741C">
        <w:rPr>
          <w:i/>
          <w:iCs/>
          <w:sz w:val="22"/>
          <w:szCs w:val="22"/>
        </w:rPr>
        <w:br/>
      </w:r>
    </w:p>
    <w:p w14:paraId="595359D2" w14:textId="2DAE90FD" w:rsidR="00014012" w:rsidRDefault="00437275" w:rsidP="000F124E">
      <w:pPr>
        <w:tabs>
          <w:tab w:val="center" w:pos="2744"/>
        </w:tabs>
        <w:rPr>
          <w:rFonts w:ascii="Calibri" w:hAnsi="Calibri" w:cs="Calibri"/>
          <w:color w:val="C45911" w:themeColor="accent2" w:themeShade="BF"/>
          <w:sz w:val="22"/>
          <w:szCs w:val="22"/>
        </w:rPr>
      </w:pPr>
      <w:r>
        <w:rPr>
          <w:rFonts w:ascii="Calibri" w:hAnsi="Calibri" w:cs="Calibri"/>
          <w:noProof/>
          <w:color w:val="C45911" w:themeColor="accent2" w:themeShade="BF"/>
          <w:sz w:val="22"/>
          <w:szCs w:val="22"/>
        </w:rPr>
        <mc:AlternateContent>
          <mc:Choice Requires="wps">
            <w:drawing>
              <wp:anchor distT="0" distB="0" distL="114300" distR="114300" simplePos="0" relativeHeight="251659264" behindDoc="1" locked="0" layoutInCell="1" allowOverlap="1" wp14:anchorId="7ADC5BD4" wp14:editId="2403C3EB">
                <wp:simplePos x="0" y="0"/>
                <wp:positionH relativeFrom="column">
                  <wp:posOffset>20320</wp:posOffset>
                </wp:positionH>
                <wp:positionV relativeFrom="paragraph">
                  <wp:posOffset>86995</wp:posOffset>
                </wp:positionV>
                <wp:extent cx="3234055" cy="13335"/>
                <wp:effectExtent l="0" t="0" r="23495" b="24765"/>
                <wp:wrapTight wrapText="bothSides">
                  <wp:wrapPolygon edited="0">
                    <wp:start x="0" y="0"/>
                    <wp:lineTo x="0" y="30857"/>
                    <wp:lineTo x="21630" y="30857"/>
                    <wp:lineTo x="21630" y="0"/>
                    <wp:lineTo x="0" y="0"/>
                  </wp:wrapPolygon>
                </wp:wrapTight>
                <wp:docPr id="1" name="Straight Connector 1"/>
                <wp:cNvGraphicFramePr/>
                <a:graphic xmlns:a="http://schemas.openxmlformats.org/drawingml/2006/main">
                  <a:graphicData uri="http://schemas.microsoft.com/office/word/2010/wordprocessingShape">
                    <wps:wsp>
                      <wps:cNvCnPr/>
                      <wps:spPr>
                        <a:xfrm flipV="1">
                          <a:off x="0" y="0"/>
                          <a:ext cx="3234055" cy="13335"/>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8DA82"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6.85pt" to="256.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3zxwEAANgDAAAOAAAAZHJzL2Uyb0RvYy54bWysU02P0zAQvSPxHyzfadKGIhQ13UNXcEFQ&#10;scDd64wbS/7S2DTpv2fsZAMChATiYsUz897Me54c7iZr2BUwau86vt3UnIGTvtfu0vHPn968eM1Z&#10;TML1wngHHb9B5HfH588OY2hh5wdvekBGJC62Y+j4kFJoqyrKAayIGx/AUVJ5tCLRFS9Vj2Ikdmuq&#10;XV2/qkaPfUAvIUaK3s9Jfiz8SoFMH5SKkJjpOM2WyonlfMxndTyI9oIiDFouY4h/mMIK7ajpSnUv&#10;kmBfUf9CZbVEH71KG+lt5ZXSEooGUrOtf1LzMIgARQuZE8NqU/x/tPL99YxM9/R2nDlh6YkeEgp9&#10;GRI7eefIQI9sm30aQ2yp/OTOuNxiOGMWPSm0TBkdvmSaHCFhbCou31aXYUpMUrDZNS/r/Z4zSblt&#10;0zT7zF7NNBkcMKa34C3LHx032mUTRCuu72KaS59Kcti4HMvTzfOUr3QzMCc/giJ91HeerGwWnAyy&#10;q6CdEFKCS80ygXFUnWFKG7MC69L9j8ClPkOhbN3fgFdE6exdWsFWO4+/656m8iRkmprrnxyYdWcL&#10;Hn1/Ky9VrKH1KR4vq57388d7gX//IY/fAAAA//8DAFBLAwQUAAYACAAAACEAymByc9wAAAAHAQAA&#10;DwAAAGRycy9kb3ducmV2LnhtbEyOzU6DQBSF9ya+w+SauLNDIdQWGZqKsda4su3G3cBcgcjcIcy0&#10;xbf3utLl+ck5X76ebC/OOPrOkYL5LAKBVDvTUaPgeHi+W4LwQZPRvSNU8I0e1sX1Va4z4y70jud9&#10;aASPkM+0gjaEIZPS1y1a7WduQOLs041WB5ZjI82oLzxuexlH0UJa3RE/tHrAssX6a3+yCqrHt2mV&#10;lMfFx8t2U75udySfGlLq9mbaPIAIOIW/MvziMzoUzFS5ExkvegVJzEW2k3sQHKfzOAVRsZEuQRa5&#10;/M9f/AAAAP//AwBQSwECLQAUAAYACAAAACEAtoM4kv4AAADhAQAAEwAAAAAAAAAAAAAAAAAAAAAA&#10;W0NvbnRlbnRfVHlwZXNdLnhtbFBLAQItABQABgAIAAAAIQA4/SH/1gAAAJQBAAALAAAAAAAAAAAA&#10;AAAAAC8BAABfcmVscy8ucmVsc1BLAQItABQABgAIAAAAIQD6Wr3zxwEAANgDAAAOAAAAAAAAAAAA&#10;AAAAAC4CAABkcnMvZTJvRG9jLnhtbFBLAQItABQABgAIAAAAIQDKYHJz3AAAAAcBAAAPAAAAAAAA&#10;AAAAAAAAACEEAABkcnMvZG93bnJldi54bWxQSwUGAAAAAAQABADzAAAAKgUAAAAA&#10;" strokecolor="#a5a5a5 [3206]" strokeweight=".5pt">
                <v:stroke joinstyle="miter"/>
                <w10:wrap type="tight"/>
              </v:line>
            </w:pict>
          </mc:Fallback>
        </mc:AlternateContent>
      </w:r>
      <w:r w:rsidR="000F124E">
        <w:rPr>
          <w:rFonts w:ascii="Calibri" w:hAnsi="Calibri" w:cs="Calibri"/>
          <w:color w:val="C45911" w:themeColor="accent2" w:themeShade="BF"/>
          <w:sz w:val="22"/>
          <w:szCs w:val="22"/>
        </w:rPr>
        <w:tab/>
      </w:r>
    </w:p>
    <w:p w14:paraId="25AB0DB9" w14:textId="77777777" w:rsidR="000F124E" w:rsidRDefault="000F124E" w:rsidP="000F124E">
      <w:pPr>
        <w:tabs>
          <w:tab w:val="center" w:pos="2744"/>
        </w:tabs>
        <w:rPr>
          <w:rFonts w:ascii="Calibri" w:hAnsi="Calibri" w:cs="Calibri"/>
          <w:color w:val="C45911" w:themeColor="accent2" w:themeShade="BF"/>
          <w:sz w:val="22"/>
          <w:szCs w:val="22"/>
        </w:rPr>
      </w:pPr>
    </w:p>
    <w:p w14:paraId="0A98DBA9" w14:textId="749FA0DC" w:rsidR="000F124E" w:rsidRDefault="004356B0" w:rsidP="000F124E">
      <w:pPr>
        <w:tabs>
          <w:tab w:val="center" w:pos="2744"/>
        </w:tabs>
        <w:rPr>
          <w:rStyle w:val="Hyperlink"/>
          <w:rFonts w:ascii="Calibri" w:hAnsi="Calibri" w:cs="Calibri"/>
          <w:i/>
          <w:iCs/>
          <w:sz w:val="22"/>
          <w:szCs w:val="22"/>
        </w:rPr>
      </w:pPr>
      <w:r w:rsidRPr="004356B0">
        <w:rPr>
          <w:rFonts w:ascii="Calibri" w:hAnsi="Calibri" w:cs="Calibri"/>
          <w:b/>
          <w:bCs/>
          <w:i/>
          <w:iCs/>
          <w:color w:val="000000" w:themeColor="text1"/>
          <w:sz w:val="22"/>
          <w:szCs w:val="22"/>
        </w:rPr>
        <w:t>Source:</w:t>
      </w:r>
      <w:r>
        <w:rPr>
          <w:rFonts w:ascii="Calibri" w:hAnsi="Calibri" w:cs="Calibri"/>
          <w:color w:val="000000" w:themeColor="text1"/>
          <w:sz w:val="22"/>
          <w:szCs w:val="22"/>
        </w:rPr>
        <w:t xml:space="preserve"> </w:t>
      </w:r>
      <w:hyperlink r:id="rId11" w:history="1">
        <w:r w:rsidRPr="004356B0">
          <w:rPr>
            <w:rStyle w:val="Hyperlink"/>
            <w:rFonts w:ascii="Calibri" w:hAnsi="Calibri" w:cs="Calibri"/>
            <w:i/>
            <w:iCs/>
            <w:sz w:val="22"/>
            <w:szCs w:val="22"/>
          </w:rPr>
          <w:t>https://www.nsf.gov/bfa/dias/policy/dmpdocs/dmr_template.pdf</w:t>
        </w:r>
      </w:hyperlink>
    </w:p>
    <w:p w14:paraId="68005523" w14:textId="13BAC9D6" w:rsidR="009B7672" w:rsidRPr="009B7672" w:rsidRDefault="009B7672" w:rsidP="000F124E">
      <w:pPr>
        <w:tabs>
          <w:tab w:val="center" w:pos="2744"/>
        </w:tabs>
        <w:rPr>
          <w:rFonts w:ascii="Calibri" w:hAnsi="Calibri" w:cs="Calibri"/>
          <w:sz w:val="22"/>
          <w:szCs w:val="22"/>
        </w:rPr>
      </w:pPr>
      <w:r w:rsidRPr="009B7672">
        <w:rPr>
          <w:rStyle w:val="Hyperlink"/>
          <w:rFonts w:ascii="Calibri" w:hAnsi="Calibri" w:cs="Calibri"/>
          <w:i/>
          <w:iCs/>
          <w:color w:val="auto"/>
          <w:sz w:val="22"/>
          <w:szCs w:val="22"/>
          <w:u w:val="none"/>
        </w:rPr>
        <w:t>Based on the DMS plan Format Page at NIH.</w:t>
      </w:r>
    </w:p>
    <w:sectPr w:rsidR="009B7672" w:rsidRPr="009B7672" w:rsidSect="00F66214">
      <w:headerReference w:type="default" r:id="rId12"/>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4B8D" w14:textId="77777777" w:rsidR="00394879" w:rsidRDefault="00394879">
      <w:r>
        <w:separator/>
      </w:r>
    </w:p>
  </w:endnote>
  <w:endnote w:type="continuationSeparator" w:id="0">
    <w:p w14:paraId="057BDFD8" w14:textId="77777777" w:rsidR="00394879" w:rsidRDefault="0039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E28A1" w14:textId="77777777" w:rsidR="00394879" w:rsidRDefault="00394879">
      <w:r>
        <w:separator/>
      </w:r>
    </w:p>
  </w:footnote>
  <w:footnote w:type="continuationSeparator" w:id="0">
    <w:p w14:paraId="18303114" w14:textId="77777777" w:rsidR="00394879" w:rsidRDefault="00394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032D" w14:textId="77777777" w:rsidR="00E127A1" w:rsidRDefault="0025454E" w:rsidP="003E1ED9">
    <w:pPr>
      <w:pStyle w:val="Header"/>
      <w:jc w:val="center"/>
      <w:rPr>
        <w:b/>
        <w:bCs/>
        <w:color w:val="FF0000"/>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82A7C"/>
    <w:multiLevelType w:val="hybridMultilevel"/>
    <w:tmpl w:val="ED14E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BA4DEA"/>
    <w:multiLevelType w:val="hybridMultilevel"/>
    <w:tmpl w:val="699CFB8A"/>
    <w:lvl w:ilvl="0" w:tplc="9A009D62">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9251B5"/>
    <w:multiLevelType w:val="hybridMultilevel"/>
    <w:tmpl w:val="7D5A6A14"/>
    <w:lvl w:ilvl="0" w:tplc="3154DE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E6"/>
    <w:rsid w:val="00014012"/>
    <w:rsid w:val="000A31A2"/>
    <w:rsid w:val="000B7E58"/>
    <w:rsid w:val="000F124E"/>
    <w:rsid w:val="000F1DC1"/>
    <w:rsid w:val="00194091"/>
    <w:rsid w:val="0025454E"/>
    <w:rsid w:val="00357193"/>
    <w:rsid w:val="003754D8"/>
    <w:rsid w:val="0038355C"/>
    <w:rsid w:val="00394879"/>
    <w:rsid w:val="004356B0"/>
    <w:rsid w:val="00437275"/>
    <w:rsid w:val="00452C45"/>
    <w:rsid w:val="004654F8"/>
    <w:rsid w:val="004B1640"/>
    <w:rsid w:val="004F4C3A"/>
    <w:rsid w:val="005A1ECD"/>
    <w:rsid w:val="005B11C1"/>
    <w:rsid w:val="005D3DE6"/>
    <w:rsid w:val="006D7331"/>
    <w:rsid w:val="0079268D"/>
    <w:rsid w:val="007D48DA"/>
    <w:rsid w:val="00834499"/>
    <w:rsid w:val="00855FA9"/>
    <w:rsid w:val="0085761A"/>
    <w:rsid w:val="00891440"/>
    <w:rsid w:val="008C07B4"/>
    <w:rsid w:val="008E1345"/>
    <w:rsid w:val="00930149"/>
    <w:rsid w:val="0095002A"/>
    <w:rsid w:val="009713F6"/>
    <w:rsid w:val="009730EE"/>
    <w:rsid w:val="009A65DB"/>
    <w:rsid w:val="009B7672"/>
    <w:rsid w:val="009C1951"/>
    <w:rsid w:val="00A614C3"/>
    <w:rsid w:val="00A927FD"/>
    <w:rsid w:val="00AF0A34"/>
    <w:rsid w:val="00B066B9"/>
    <w:rsid w:val="00C10783"/>
    <w:rsid w:val="00CC3252"/>
    <w:rsid w:val="00D52DB7"/>
    <w:rsid w:val="00E036B6"/>
    <w:rsid w:val="00E53AFE"/>
    <w:rsid w:val="00E70FB2"/>
    <w:rsid w:val="00F6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FA05"/>
  <w15:chartTrackingRefBased/>
  <w15:docId w15:val="{8155ED02-2AED-427A-B757-E8D90D5D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2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6214"/>
    <w:pPr>
      <w:tabs>
        <w:tab w:val="center" w:pos="4320"/>
        <w:tab w:val="right" w:pos="8640"/>
      </w:tabs>
      <w:autoSpaceDE w:val="0"/>
      <w:autoSpaceDN w:val="0"/>
    </w:pPr>
    <w:rPr>
      <w:rFonts w:ascii="Arial" w:hAnsi="Arial"/>
      <w:sz w:val="22"/>
    </w:rPr>
  </w:style>
  <w:style w:type="character" w:customStyle="1" w:styleId="HeaderChar">
    <w:name w:val="Header Char"/>
    <w:basedOn w:val="DefaultParagraphFont"/>
    <w:link w:val="Header"/>
    <w:rsid w:val="00F66214"/>
    <w:rPr>
      <w:rFonts w:ascii="Arial" w:eastAsia="Times New Roman" w:hAnsi="Arial" w:cs="Times New Roman"/>
      <w:szCs w:val="24"/>
    </w:rPr>
  </w:style>
  <w:style w:type="paragraph" w:customStyle="1" w:styleId="DataField11pt-Single">
    <w:name w:val="Data Field 11pt-Single"/>
    <w:basedOn w:val="Normal"/>
    <w:link w:val="DataField11pt-SingleChar"/>
    <w:rsid w:val="00F66214"/>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F66214"/>
    <w:rPr>
      <w:rFonts w:ascii="Arial" w:eastAsia="Times New Roman" w:hAnsi="Arial" w:cs="Arial"/>
      <w:szCs w:val="20"/>
    </w:rPr>
  </w:style>
  <w:style w:type="paragraph" w:customStyle="1" w:styleId="HeadingNote">
    <w:name w:val="Heading Note"/>
    <w:basedOn w:val="Normal"/>
    <w:rsid w:val="00F66214"/>
    <w:pPr>
      <w:pBdr>
        <w:bottom w:val="single" w:sz="4" w:space="6" w:color="auto"/>
      </w:pBdr>
      <w:autoSpaceDE w:val="0"/>
      <w:autoSpaceDN w:val="0"/>
      <w:spacing w:before="40" w:after="40"/>
      <w:jc w:val="center"/>
    </w:pPr>
    <w:rPr>
      <w:rFonts w:ascii="Arial" w:hAnsi="Arial" w:cs="Arial"/>
      <w:iCs/>
      <w:sz w:val="16"/>
      <w:szCs w:val="16"/>
    </w:rPr>
  </w:style>
  <w:style w:type="character" w:styleId="Strong">
    <w:name w:val="Strong"/>
    <w:basedOn w:val="DefaultParagraphFont"/>
    <w:qFormat/>
    <w:rsid w:val="00F66214"/>
    <w:rPr>
      <w:b/>
      <w:bCs/>
    </w:rPr>
  </w:style>
  <w:style w:type="paragraph" w:customStyle="1" w:styleId="OMBInfo">
    <w:name w:val="OMB Info"/>
    <w:basedOn w:val="Normal"/>
    <w:qFormat/>
    <w:rsid w:val="00F66214"/>
    <w:pPr>
      <w:autoSpaceDE w:val="0"/>
      <w:autoSpaceDN w:val="0"/>
      <w:spacing w:after="120"/>
      <w:jc w:val="right"/>
    </w:pPr>
    <w:rPr>
      <w:rFonts w:ascii="Arial" w:hAnsi="Arial"/>
      <w:sz w:val="16"/>
    </w:rPr>
  </w:style>
  <w:style w:type="paragraph" w:styleId="Title">
    <w:name w:val="Title"/>
    <w:basedOn w:val="Normal"/>
    <w:next w:val="Normal"/>
    <w:link w:val="TitleChar"/>
    <w:qFormat/>
    <w:rsid w:val="00F66214"/>
    <w:pPr>
      <w:pBdr>
        <w:top w:val="single" w:sz="4" w:space="1" w:color="auto"/>
      </w:pBdr>
      <w:autoSpaceDE w:val="0"/>
      <w:autoSpaceDN w:val="0"/>
      <w:spacing w:before="240"/>
      <w:jc w:val="center"/>
    </w:pPr>
    <w:rPr>
      <w:rFonts w:ascii="Arial" w:hAnsi="Arial"/>
      <w:b/>
      <w:sz w:val="22"/>
    </w:rPr>
  </w:style>
  <w:style w:type="character" w:customStyle="1" w:styleId="TitleChar">
    <w:name w:val="Title Char"/>
    <w:basedOn w:val="DefaultParagraphFont"/>
    <w:link w:val="Title"/>
    <w:rsid w:val="00F66214"/>
    <w:rPr>
      <w:rFonts w:ascii="Arial" w:eastAsia="Times New Roman" w:hAnsi="Arial" w:cs="Times New Roman"/>
      <w:b/>
      <w:szCs w:val="24"/>
    </w:rPr>
  </w:style>
  <w:style w:type="paragraph" w:styleId="ListParagraph">
    <w:name w:val="List Paragraph"/>
    <w:basedOn w:val="Normal"/>
    <w:uiPriority w:val="34"/>
    <w:qFormat/>
    <w:rsid w:val="00F66214"/>
    <w:pPr>
      <w:autoSpaceDE w:val="0"/>
      <w:autoSpaceDN w:val="0"/>
      <w:ind w:left="720"/>
      <w:contextualSpacing/>
    </w:pPr>
    <w:rPr>
      <w:rFonts w:ascii="Arial" w:hAnsi="Arial"/>
      <w:sz w:val="22"/>
    </w:rPr>
  </w:style>
  <w:style w:type="character" w:styleId="Hyperlink">
    <w:name w:val="Hyperlink"/>
    <w:basedOn w:val="DefaultParagraphFont"/>
    <w:uiPriority w:val="99"/>
    <w:unhideWhenUsed/>
    <w:rsid w:val="00F66214"/>
    <w:rPr>
      <w:color w:val="0563C1" w:themeColor="hyperlink"/>
      <w:u w:val="single"/>
    </w:rPr>
  </w:style>
  <w:style w:type="character" w:styleId="UnresolvedMention">
    <w:name w:val="Unresolved Mention"/>
    <w:basedOn w:val="DefaultParagraphFont"/>
    <w:uiPriority w:val="99"/>
    <w:semiHidden/>
    <w:unhideWhenUsed/>
    <w:rsid w:val="00F66214"/>
    <w:rPr>
      <w:color w:val="605E5C"/>
      <w:shd w:val="clear" w:color="auto" w:fill="E1DFDD"/>
    </w:rPr>
  </w:style>
  <w:style w:type="paragraph" w:styleId="NormalWeb">
    <w:name w:val="Normal (Web)"/>
    <w:basedOn w:val="Normal"/>
    <w:uiPriority w:val="99"/>
    <w:rsid w:val="006D7331"/>
    <w:pPr>
      <w:spacing w:before="100" w:beforeAutospacing="1" w:after="100" w:afterAutospacing="1"/>
    </w:pPr>
    <w:rPr>
      <w:rFonts w:ascii="Arial" w:eastAsia="Arial Unicode MS" w:hAnsi="Arial"/>
      <w:sz w:val="22"/>
    </w:rPr>
  </w:style>
  <w:style w:type="character" w:styleId="FollowedHyperlink">
    <w:name w:val="FollowedHyperlink"/>
    <w:basedOn w:val="DefaultParagraphFont"/>
    <w:uiPriority w:val="99"/>
    <w:semiHidden/>
    <w:unhideWhenUsed/>
    <w:rsid w:val="00435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gov/bfa/dias/policy/dmpdocs/dmr_template.pdf" TargetMode="External"/><Relationship Id="rId5" Type="http://schemas.openxmlformats.org/officeDocument/2006/relationships/styles" Target="styles.xml"/><Relationship Id="rId10" Type="http://schemas.openxmlformats.org/officeDocument/2006/relationships/hyperlink" Target="https://new.nsf.gov/funding/data-management-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9DB1EA1BA384428BD0E99F041AE1BD" ma:contentTypeVersion="10" ma:contentTypeDescription="Create a new document." ma:contentTypeScope="" ma:versionID="66ecf6a29272b22d8397a77671841f0e">
  <xsd:schema xmlns:xsd="http://www.w3.org/2001/XMLSchema" xmlns:xs="http://www.w3.org/2001/XMLSchema" xmlns:p="http://schemas.microsoft.com/office/2006/metadata/properties" xmlns:ns3="b30245eb-8a74-4a07-8413-a2e4e813524b" targetNamespace="http://schemas.microsoft.com/office/2006/metadata/properties" ma:root="true" ma:fieldsID="eb31de9666a593483961af8b5db2dba6" ns3:_="">
    <xsd:import namespace="b30245eb-8a74-4a07-8413-a2e4e81352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245eb-8a74-4a07-8413-a2e4e81352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30245eb-8a74-4a07-8413-a2e4e813524b" xsi:nil="true"/>
  </documentManagement>
</p:properties>
</file>

<file path=customXml/itemProps1.xml><?xml version="1.0" encoding="utf-8"?>
<ds:datastoreItem xmlns:ds="http://schemas.openxmlformats.org/officeDocument/2006/customXml" ds:itemID="{1BCF2B1D-6F30-4D60-B71A-DBE63D2352CD}">
  <ds:schemaRefs>
    <ds:schemaRef ds:uri="http://schemas.microsoft.com/sharepoint/v3/contenttype/forms"/>
  </ds:schemaRefs>
</ds:datastoreItem>
</file>

<file path=customXml/itemProps2.xml><?xml version="1.0" encoding="utf-8"?>
<ds:datastoreItem xmlns:ds="http://schemas.openxmlformats.org/officeDocument/2006/customXml" ds:itemID="{07BC7A7E-E1D9-43F6-BCBA-3B21457AD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245eb-8a74-4a07-8413-a2e4e8135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FB5A0-4410-4438-8860-C8E7961E9008}">
  <ds:schemaRefs>
    <ds:schemaRef ds:uri="http://schemas.microsoft.com/office/2006/metadata/properties"/>
    <ds:schemaRef ds:uri="http://schemas.microsoft.com/office/infopath/2007/PartnerControls"/>
    <ds:schemaRef ds:uri="b30245eb-8a74-4a07-8413-a2e4e813524b"/>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Rougeau, Amala K</dc:creator>
  <cp:keywords/>
  <dc:description/>
  <cp:lastModifiedBy>Rougeau, Amala K</cp:lastModifiedBy>
  <cp:revision>42</cp:revision>
  <dcterms:created xsi:type="dcterms:W3CDTF">2024-10-15T20:15:00Z</dcterms:created>
  <dcterms:modified xsi:type="dcterms:W3CDTF">2025-02-06T21:55:00Z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0x0101003E9DB1EA1BA384428BD0E99F041AE1BD</vt:lpwstr>
  </property>
</Properties>
</file>