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0C982C" w14:textId="41369C1D" w:rsidR="00106B2B" w:rsidRPr="00ED176D" w:rsidRDefault="00106B2B">
      <w:pPr>
        <w:rPr>
          <w:b/>
          <w:bCs/>
          <w:u w:val="single"/>
        </w:rPr>
      </w:pPr>
    </w:p>
    <w:p w14:paraId="670FCCFD" w14:textId="2AD714EB" w:rsidR="00106B2B" w:rsidRPr="00ED176D" w:rsidRDefault="00AD20A6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How do Participants </w:t>
      </w:r>
      <w:r w:rsidR="00ED176D" w:rsidRPr="00ED176D">
        <w:rPr>
          <w:b/>
          <w:bCs/>
          <w:u w:val="single"/>
        </w:rPr>
        <w:t xml:space="preserve">Check </w:t>
      </w:r>
      <w:r w:rsidR="00106B2B" w:rsidRPr="00ED176D">
        <w:rPr>
          <w:b/>
          <w:bCs/>
          <w:u w:val="single"/>
        </w:rPr>
        <w:t>Balance on the card</w:t>
      </w:r>
      <w:r>
        <w:rPr>
          <w:b/>
          <w:bCs/>
          <w:u w:val="single"/>
        </w:rPr>
        <w:t>?</w:t>
      </w:r>
    </w:p>
    <w:p w14:paraId="1367FE9E" w14:textId="27C35A2C" w:rsidR="00106B2B" w:rsidRDefault="00106B2B">
      <w:r>
        <w:rPr>
          <w:noProof/>
        </w:rPr>
        <w:drawing>
          <wp:inline distT="0" distB="0" distL="0" distR="0" wp14:anchorId="35B0307E" wp14:editId="1451F8D2">
            <wp:extent cx="5943600" cy="1461770"/>
            <wp:effectExtent l="0" t="0" r="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461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670136" w14:textId="758DC67B" w:rsidR="00106B2B" w:rsidRDefault="00106B2B"/>
    <w:p w14:paraId="5B045491" w14:textId="5F91D343" w:rsidR="00106B2B" w:rsidRPr="00ED176D" w:rsidRDefault="00AD20A6">
      <w:pPr>
        <w:rPr>
          <w:b/>
          <w:bCs/>
          <w:u w:val="single"/>
        </w:rPr>
      </w:pPr>
      <w:r>
        <w:rPr>
          <w:b/>
          <w:bCs/>
          <w:u w:val="single"/>
        </w:rPr>
        <w:t>What if Participant forgot their PIN?</w:t>
      </w:r>
    </w:p>
    <w:p w14:paraId="02DC42F3" w14:textId="55B515EA" w:rsidR="00106B2B" w:rsidRDefault="00106B2B">
      <w:r>
        <w:rPr>
          <w:noProof/>
        </w:rPr>
        <w:drawing>
          <wp:inline distT="0" distB="0" distL="0" distR="0" wp14:anchorId="5E22138D" wp14:editId="74ED7BD8">
            <wp:extent cx="5943600" cy="931545"/>
            <wp:effectExtent l="0" t="0" r="0" b="190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931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168302" w14:textId="457D8451" w:rsidR="00106B2B" w:rsidRDefault="00106B2B"/>
    <w:p w14:paraId="7B49F203" w14:textId="1A3A4CE4" w:rsidR="00106B2B" w:rsidRPr="00ED176D" w:rsidRDefault="00AD20A6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What if Participant </w:t>
      </w:r>
      <w:r w:rsidR="00106B2B" w:rsidRPr="00ED176D">
        <w:rPr>
          <w:b/>
          <w:bCs/>
          <w:u w:val="single"/>
        </w:rPr>
        <w:t>Card is stolen</w:t>
      </w:r>
      <w:r>
        <w:rPr>
          <w:b/>
          <w:bCs/>
          <w:u w:val="single"/>
        </w:rPr>
        <w:t>?</w:t>
      </w:r>
    </w:p>
    <w:p w14:paraId="37830D6F" w14:textId="1076FF70" w:rsidR="00106B2B" w:rsidRDefault="00106B2B">
      <w:r>
        <w:rPr>
          <w:noProof/>
        </w:rPr>
        <w:drawing>
          <wp:inline distT="0" distB="0" distL="0" distR="0" wp14:anchorId="15EFF24E" wp14:editId="73E76E15">
            <wp:extent cx="5943600" cy="1292225"/>
            <wp:effectExtent l="0" t="0" r="0" b="317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292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025583" w14:textId="5C972F05" w:rsidR="00106B2B" w:rsidRDefault="00106B2B"/>
    <w:p w14:paraId="2EF3C801" w14:textId="340B0D94" w:rsidR="00106B2B" w:rsidRPr="00ED176D" w:rsidRDefault="00AD20A6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How do I </w:t>
      </w:r>
      <w:r w:rsidR="00106B2B" w:rsidRPr="00ED176D">
        <w:rPr>
          <w:b/>
          <w:bCs/>
          <w:u w:val="single"/>
        </w:rPr>
        <w:t>Change</w:t>
      </w:r>
      <w:r>
        <w:rPr>
          <w:b/>
          <w:bCs/>
          <w:u w:val="single"/>
        </w:rPr>
        <w:t xml:space="preserve"> Visit </w:t>
      </w:r>
      <w:r w:rsidRPr="00ED176D">
        <w:rPr>
          <w:b/>
          <w:bCs/>
          <w:u w:val="single"/>
        </w:rPr>
        <w:t>Milestones?</w:t>
      </w:r>
    </w:p>
    <w:p w14:paraId="21374566" w14:textId="24B24E1D" w:rsidR="00106B2B" w:rsidRDefault="00106B2B">
      <w:r>
        <w:t xml:space="preserve">Reach out to </w:t>
      </w:r>
      <w:hyperlink r:id="rId10" w:history="1">
        <w:r w:rsidRPr="00BC1C58">
          <w:rPr>
            <w:rStyle w:val="Hyperlink"/>
          </w:rPr>
          <w:t>researchstipend@uth.tmc.edu</w:t>
        </w:r>
      </w:hyperlink>
      <w:r>
        <w:t xml:space="preserve"> to change the milestones and amounts</w:t>
      </w:r>
    </w:p>
    <w:p w14:paraId="7EDACF12" w14:textId="2B46D1BD" w:rsidR="00106B2B" w:rsidRDefault="00106B2B"/>
    <w:p w14:paraId="1F0CEDCF" w14:textId="42DB8D1A" w:rsidR="00ED176D" w:rsidRPr="00ED176D" w:rsidRDefault="00AD20A6">
      <w:pPr>
        <w:rPr>
          <w:b/>
          <w:bCs/>
          <w:u w:val="single"/>
        </w:rPr>
      </w:pPr>
      <w:r>
        <w:rPr>
          <w:b/>
          <w:bCs/>
          <w:highlight w:val="yellow"/>
          <w:u w:val="single"/>
        </w:rPr>
        <w:t xml:space="preserve">What do I do if </w:t>
      </w:r>
      <w:r w:rsidR="00ED176D" w:rsidRPr="00AD20A6">
        <w:rPr>
          <w:b/>
          <w:bCs/>
          <w:highlight w:val="yellow"/>
          <w:u w:val="single"/>
        </w:rPr>
        <w:t>Visit/Milestone</w:t>
      </w:r>
      <w:r w:rsidR="000C2553" w:rsidRPr="00AD20A6">
        <w:rPr>
          <w:b/>
          <w:bCs/>
          <w:highlight w:val="yellow"/>
          <w:u w:val="single"/>
        </w:rPr>
        <w:t xml:space="preserve"> not on the menu</w:t>
      </w:r>
      <w:r>
        <w:rPr>
          <w:b/>
          <w:bCs/>
          <w:u w:val="single"/>
        </w:rPr>
        <w:t>?</w:t>
      </w:r>
    </w:p>
    <w:p w14:paraId="56E8FE39" w14:textId="4A6F3F38" w:rsidR="00106B2B" w:rsidRDefault="00ED176D">
      <w:r>
        <w:t>Skip the “Milestone” section and only enter data into the “Optional Reimbursement” section. (</w:t>
      </w:r>
      <w:proofErr w:type="gramStart"/>
      <w:r>
        <w:t>see</w:t>
      </w:r>
      <w:proofErr w:type="gramEnd"/>
      <w:r>
        <w:t xml:space="preserve"> screenshot below)</w:t>
      </w:r>
    </w:p>
    <w:p w14:paraId="203865DC" w14:textId="28D912B9" w:rsidR="000C2553" w:rsidRDefault="00ED176D">
      <w:r w:rsidRPr="00ED176D">
        <w:rPr>
          <w:noProof/>
        </w:rPr>
        <w:lastRenderedPageBreak/>
        <w:drawing>
          <wp:inline distT="0" distB="0" distL="0" distR="0" wp14:anchorId="40D8BF89" wp14:editId="033A668A">
            <wp:extent cx="5943600" cy="4590415"/>
            <wp:effectExtent l="0" t="0" r="0" b="63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590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B012B5" w14:textId="3FCA78E1" w:rsidR="00ED176D" w:rsidRDefault="00ED176D"/>
    <w:p w14:paraId="558C2262" w14:textId="408D85EB" w:rsidR="00ED176D" w:rsidRDefault="00AD20A6">
      <w:r>
        <w:rPr>
          <w:b/>
          <w:bCs/>
          <w:highlight w:val="yellow"/>
          <w:u w:val="single"/>
        </w:rPr>
        <w:t xml:space="preserve">What if </w:t>
      </w:r>
      <w:r w:rsidR="00ED176D" w:rsidRPr="00AD20A6">
        <w:rPr>
          <w:b/>
          <w:bCs/>
          <w:highlight w:val="yellow"/>
          <w:u w:val="single"/>
        </w:rPr>
        <w:t>Participant Lost Card</w:t>
      </w:r>
      <w:r w:rsidR="00ED176D" w:rsidRPr="00ED176D">
        <w:rPr>
          <w:b/>
          <w:bCs/>
        </w:rPr>
        <w:t>:</w:t>
      </w:r>
      <w:r w:rsidR="00ED176D">
        <w:t xml:space="preserve"> See guidance document “Lost Card” </w:t>
      </w:r>
      <w:r w:rsidR="00ED176D" w:rsidRPr="00ED176D">
        <w:t xml:space="preserve">Do not give them a new </w:t>
      </w:r>
      <w:proofErr w:type="gramStart"/>
      <w:r w:rsidR="00ED176D" w:rsidRPr="00ED176D">
        <w:t>card</w:t>
      </w:r>
      <w:r w:rsidR="00ED176D">
        <w:t xml:space="preserve">  they</w:t>
      </w:r>
      <w:proofErr w:type="gramEnd"/>
      <w:r w:rsidR="00ED176D">
        <w:t xml:space="preserve"> will need to call to have a replacement card mailed however see details on guidance document.</w:t>
      </w:r>
    </w:p>
    <w:p w14:paraId="722C1165" w14:textId="1FA4458E" w:rsidR="00ED176D" w:rsidRDefault="00ED176D"/>
    <w:p w14:paraId="05347F4E" w14:textId="2F51EF24" w:rsidR="00ED176D" w:rsidRPr="00AD20A6" w:rsidRDefault="00AD20A6" w:rsidP="00AD20A6">
      <w:pPr>
        <w:shd w:val="clear" w:color="auto" w:fill="FFFFFF"/>
        <w:spacing w:after="0"/>
        <w:textAlignment w:val="baseline"/>
        <w:rPr>
          <w:b/>
          <w:bCs/>
          <w:highlight w:val="yellow"/>
          <w:u w:val="single"/>
        </w:rPr>
      </w:pPr>
      <w:r w:rsidRPr="00AD20A6">
        <w:rPr>
          <w:b/>
          <w:bCs/>
          <w:highlight w:val="yellow"/>
          <w:u w:val="single"/>
        </w:rPr>
        <w:t>Should I use</w:t>
      </w:r>
      <w:r w:rsidR="00ED176D" w:rsidRPr="00AD20A6">
        <w:rPr>
          <w:b/>
          <w:bCs/>
          <w:highlight w:val="yellow"/>
          <w:u w:val="single"/>
        </w:rPr>
        <w:t xml:space="preserve"> Reloadable</w:t>
      </w:r>
      <w:r w:rsidRPr="00AD20A6">
        <w:rPr>
          <w:b/>
          <w:bCs/>
          <w:highlight w:val="yellow"/>
          <w:u w:val="single"/>
        </w:rPr>
        <w:t xml:space="preserve"> cards</w:t>
      </w:r>
      <w:r w:rsidR="00ED176D" w:rsidRPr="00AD20A6">
        <w:rPr>
          <w:b/>
          <w:bCs/>
          <w:highlight w:val="yellow"/>
          <w:u w:val="single"/>
        </w:rPr>
        <w:t xml:space="preserve">, </w:t>
      </w:r>
      <w:proofErr w:type="gramStart"/>
      <w:r w:rsidR="00ED176D" w:rsidRPr="00AD20A6">
        <w:rPr>
          <w:b/>
          <w:bCs/>
          <w:highlight w:val="yellow"/>
          <w:u w:val="single"/>
        </w:rPr>
        <w:t>One time</w:t>
      </w:r>
      <w:proofErr w:type="gramEnd"/>
      <w:r w:rsidRPr="00AD20A6">
        <w:rPr>
          <w:b/>
          <w:bCs/>
          <w:highlight w:val="yellow"/>
          <w:u w:val="single"/>
        </w:rPr>
        <w:t xml:space="preserve"> cards</w:t>
      </w:r>
      <w:r w:rsidR="00ED176D" w:rsidRPr="00AD20A6">
        <w:rPr>
          <w:b/>
          <w:bCs/>
          <w:highlight w:val="yellow"/>
          <w:u w:val="single"/>
        </w:rPr>
        <w:t xml:space="preserve"> or Both</w:t>
      </w:r>
      <w:r w:rsidRPr="00AD20A6">
        <w:rPr>
          <w:b/>
          <w:bCs/>
          <w:highlight w:val="yellow"/>
          <w:u w:val="single"/>
        </w:rPr>
        <w:t>?</w:t>
      </w:r>
      <w:r w:rsidR="00ED176D" w:rsidRPr="00AD20A6">
        <w:rPr>
          <w:b/>
          <w:bCs/>
          <w:highlight w:val="yellow"/>
          <w:u w:val="single"/>
        </w:rPr>
        <w:t xml:space="preserve"> </w:t>
      </w:r>
    </w:p>
    <w:p w14:paraId="4A0493ED" w14:textId="77777777" w:rsidR="00ED176D" w:rsidRPr="00AD20A6" w:rsidRDefault="00ED176D" w:rsidP="00ED176D">
      <w:pPr>
        <w:shd w:val="clear" w:color="auto" w:fill="FFFFFF"/>
        <w:spacing w:after="0"/>
        <w:ind w:left="360" w:firstLine="360"/>
        <w:textAlignment w:val="baseline"/>
      </w:pPr>
      <w:r w:rsidRPr="00AD20A6">
        <w:t xml:space="preserve">As a general rule, </w:t>
      </w:r>
      <w:proofErr w:type="gramStart"/>
      <w:r w:rsidRPr="00AD20A6">
        <w:t>If</w:t>
      </w:r>
      <w:proofErr w:type="gramEnd"/>
      <w:r w:rsidRPr="00AD20A6">
        <w:t xml:space="preserve"> participant payments are less than $600 in a year, One time (OT) cards are used. If participant payments are $600 or greater for calendar year, Reloadable cards are used.  </w:t>
      </w:r>
    </w:p>
    <w:p w14:paraId="2CABCB99" w14:textId="77777777" w:rsidR="00ED176D" w:rsidRPr="00AD20A6" w:rsidRDefault="00ED176D" w:rsidP="00ED176D">
      <w:pPr>
        <w:shd w:val="clear" w:color="auto" w:fill="FFFFFF"/>
        <w:spacing w:after="0"/>
        <w:ind w:left="360" w:firstLine="360"/>
        <w:textAlignment w:val="baseline"/>
      </w:pPr>
      <w:r w:rsidRPr="00AD20A6">
        <w:t xml:space="preserve"> </w:t>
      </w:r>
    </w:p>
    <w:p w14:paraId="55AE7556" w14:textId="77777777" w:rsidR="00ED176D" w:rsidRPr="00980B1E" w:rsidRDefault="00ED176D" w:rsidP="00ED176D">
      <w:pPr>
        <w:shd w:val="clear" w:color="auto" w:fill="FFFFFF"/>
        <w:spacing w:after="0"/>
        <w:ind w:left="360"/>
        <w:textAlignment w:val="baseline"/>
        <w:rPr>
          <w:b/>
          <w:bCs/>
          <w:sz w:val="24"/>
          <w:szCs w:val="24"/>
        </w:rPr>
      </w:pPr>
    </w:p>
    <w:p w14:paraId="20D84C65" w14:textId="77777777" w:rsidR="00ED176D" w:rsidRDefault="00ED176D" w:rsidP="00ED176D">
      <w:pPr>
        <w:pStyle w:val="ListParagraph"/>
        <w:numPr>
          <w:ilvl w:val="0"/>
          <w:numId w:val="2"/>
        </w:numPr>
      </w:pPr>
      <w:r w:rsidRPr="00087061">
        <w:rPr>
          <w:b/>
          <w:bCs/>
          <w:u w:val="single"/>
        </w:rPr>
        <w:t>If payments are less than $600 you should always use OT</w:t>
      </w:r>
      <w:r>
        <w:t xml:space="preserve"> even if multiple visits. </w:t>
      </w:r>
    </w:p>
    <w:p w14:paraId="24F7849A" w14:textId="77777777" w:rsidR="00ED176D" w:rsidRDefault="00ED176D" w:rsidP="00ED176D">
      <w:pPr>
        <w:pStyle w:val="ListParagraph"/>
      </w:pPr>
      <w:r>
        <w:rPr>
          <w:u w:val="single"/>
        </w:rPr>
        <w:t>WHY?</w:t>
      </w:r>
    </w:p>
    <w:p w14:paraId="46A6CD7B" w14:textId="77777777" w:rsidR="00ED176D" w:rsidRDefault="00ED176D" w:rsidP="00ED176D">
      <w:pPr>
        <w:pStyle w:val="ListParagraph"/>
        <w:numPr>
          <w:ilvl w:val="0"/>
          <w:numId w:val="3"/>
        </w:numPr>
      </w:pPr>
      <w:r>
        <w:t>Reloadable cards require social security ID to set up reloadable account due to banking regulations</w:t>
      </w:r>
    </w:p>
    <w:p w14:paraId="0825B0BE" w14:textId="77777777" w:rsidR="00ED176D" w:rsidRDefault="00ED176D" w:rsidP="00ED176D">
      <w:pPr>
        <w:pStyle w:val="ListParagraph"/>
        <w:numPr>
          <w:ilvl w:val="0"/>
          <w:numId w:val="3"/>
        </w:numPr>
      </w:pPr>
      <w:r>
        <w:t>Reloadable cards require W-9 form to be signed and uploaded in Redcap</w:t>
      </w:r>
    </w:p>
    <w:p w14:paraId="28FA2052" w14:textId="77777777" w:rsidR="00ED176D" w:rsidRDefault="00ED176D" w:rsidP="00ED176D">
      <w:pPr>
        <w:pStyle w:val="ListParagraph"/>
        <w:numPr>
          <w:ilvl w:val="1"/>
          <w:numId w:val="3"/>
        </w:numPr>
      </w:pPr>
      <w:r>
        <w:t xml:space="preserve"> participants do not meet the criteria to be required to complete a W-9 form</w:t>
      </w:r>
    </w:p>
    <w:p w14:paraId="1EB6C594" w14:textId="77777777" w:rsidR="00ED176D" w:rsidRPr="00087061" w:rsidRDefault="00ED176D" w:rsidP="00ED176D">
      <w:pPr>
        <w:pStyle w:val="ListParagraph"/>
        <w:numPr>
          <w:ilvl w:val="1"/>
          <w:numId w:val="3"/>
        </w:numPr>
      </w:pPr>
      <w:r w:rsidRPr="00087061">
        <w:t>participants are not going to be happy about having to provide SS ID/W-9 if their payments are low</w:t>
      </w:r>
    </w:p>
    <w:p w14:paraId="64C685CC" w14:textId="77777777" w:rsidR="00ED176D" w:rsidRDefault="00ED176D" w:rsidP="00ED176D">
      <w:pPr>
        <w:pStyle w:val="ListParagraph"/>
        <w:numPr>
          <w:ilvl w:val="0"/>
          <w:numId w:val="3"/>
        </w:numPr>
      </w:pPr>
      <w:bookmarkStart w:id="0" w:name="_Hlk165383885"/>
      <w:r>
        <w:t>Reloadable cards submissions go through an identification verification with the bank</w:t>
      </w:r>
    </w:p>
    <w:p w14:paraId="2F07C471" w14:textId="77777777" w:rsidR="00ED176D" w:rsidRDefault="00ED176D" w:rsidP="00ED176D">
      <w:pPr>
        <w:pStyle w:val="ListParagraph"/>
        <w:numPr>
          <w:ilvl w:val="1"/>
          <w:numId w:val="3"/>
        </w:numPr>
      </w:pPr>
      <w:r>
        <w:t>if the name/DOB/Address/SSID do not pass banking verification the card will be placed on hold</w:t>
      </w:r>
    </w:p>
    <w:bookmarkEnd w:id="0"/>
    <w:p w14:paraId="5807FB04" w14:textId="77777777" w:rsidR="00ED176D" w:rsidRDefault="00ED176D" w:rsidP="00ED176D">
      <w:pPr>
        <w:pStyle w:val="ListParagraph"/>
        <w:numPr>
          <w:ilvl w:val="0"/>
          <w:numId w:val="3"/>
        </w:numPr>
      </w:pPr>
      <w:r w:rsidRPr="00087061">
        <w:rPr>
          <w:u w:val="single"/>
        </w:rPr>
        <w:t>If mul</w:t>
      </w:r>
      <w:r>
        <w:rPr>
          <w:u w:val="single"/>
        </w:rPr>
        <w:t>t</w:t>
      </w:r>
      <w:r w:rsidRPr="00087061">
        <w:rPr>
          <w:u w:val="single"/>
        </w:rPr>
        <w:t>iyear study</w:t>
      </w:r>
      <w:r>
        <w:t>: in addition, if the study lasts for more than 2 years the card will need to be replaced after 2 years.</w:t>
      </w:r>
    </w:p>
    <w:p w14:paraId="4535ABBC" w14:textId="77777777" w:rsidR="00ED176D" w:rsidRDefault="00ED176D" w:rsidP="00ED176D">
      <w:pPr>
        <w:pStyle w:val="ListParagraph"/>
        <w:numPr>
          <w:ilvl w:val="1"/>
          <w:numId w:val="3"/>
        </w:numPr>
      </w:pPr>
      <w:r>
        <w:t xml:space="preserve">All SPA Card gift cards expire within 2 years    </w:t>
      </w:r>
    </w:p>
    <w:p w14:paraId="370A18A0" w14:textId="77777777" w:rsidR="00ED176D" w:rsidRDefault="00ED176D" w:rsidP="00ED176D">
      <w:pPr>
        <w:ind w:left="720"/>
      </w:pPr>
    </w:p>
    <w:p w14:paraId="195F76FD" w14:textId="77777777" w:rsidR="00ED176D" w:rsidRDefault="00ED176D" w:rsidP="00ED176D">
      <w:pPr>
        <w:pStyle w:val="ListParagraph"/>
        <w:numPr>
          <w:ilvl w:val="0"/>
          <w:numId w:val="2"/>
        </w:numPr>
      </w:pPr>
      <w:r w:rsidRPr="00087061">
        <w:t xml:space="preserve">SPA recommends to set up </w:t>
      </w:r>
      <w:r w:rsidRPr="00087061">
        <w:rPr>
          <w:b/>
          <w:bCs/>
          <w:u w:val="single"/>
        </w:rPr>
        <w:t>both RL and OT</w:t>
      </w:r>
      <w:r w:rsidRPr="00087061">
        <w:t xml:space="preserve"> account for a single study</w:t>
      </w:r>
      <w:r>
        <w:t xml:space="preserve"> when:</w:t>
      </w:r>
    </w:p>
    <w:p w14:paraId="7E64789C" w14:textId="77777777" w:rsidR="00ED176D" w:rsidRDefault="00ED176D" w:rsidP="00ED176D">
      <w:pPr>
        <w:pStyle w:val="ListParagraph"/>
        <w:numPr>
          <w:ilvl w:val="0"/>
          <w:numId w:val="4"/>
        </w:numPr>
      </w:pPr>
      <w:r>
        <w:t>Payments are =&gt;$600 but some participants may not have SSN or may not have stable address</w:t>
      </w:r>
    </w:p>
    <w:p w14:paraId="6F73FB6B" w14:textId="77777777" w:rsidR="00ED176D" w:rsidRDefault="00ED176D" w:rsidP="00ED176D">
      <w:pPr>
        <w:pStyle w:val="ListParagraph"/>
        <w:numPr>
          <w:ilvl w:val="1"/>
          <w:numId w:val="4"/>
        </w:numPr>
      </w:pPr>
      <w:r>
        <w:t>Reloadable cards submissions go through an identification verification with the bank</w:t>
      </w:r>
    </w:p>
    <w:p w14:paraId="4F8136B9" w14:textId="77777777" w:rsidR="00ED176D" w:rsidRDefault="00ED176D" w:rsidP="00ED176D">
      <w:pPr>
        <w:pStyle w:val="ListParagraph"/>
        <w:numPr>
          <w:ilvl w:val="2"/>
          <w:numId w:val="4"/>
        </w:numPr>
      </w:pPr>
      <w:r>
        <w:t>if the name/DOB/Address/SSID do not pass banking verification the card will be placed on hold</w:t>
      </w:r>
    </w:p>
    <w:p w14:paraId="2B1D44FB" w14:textId="1DDC6B24" w:rsidR="00ED176D" w:rsidRDefault="00ED176D" w:rsidP="00ED176D">
      <w:pPr>
        <w:pStyle w:val="ListParagraph"/>
        <w:numPr>
          <w:ilvl w:val="1"/>
          <w:numId w:val="4"/>
        </w:numPr>
      </w:pPr>
      <w:r>
        <w:t xml:space="preserve">Setting up both accounts at start of study will allow you easily use the OT cards if a participant does not have SSN or does not have a stable address to avoid delay in your </w:t>
      </w:r>
      <w:r w:rsidR="00AD20A6">
        <w:t>team having</w:t>
      </w:r>
      <w:r>
        <w:t xml:space="preserve"> to set up new application</w:t>
      </w:r>
      <w:r w:rsidR="00AD20A6">
        <w:t>.</w:t>
      </w:r>
    </w:p>
    <w:p w14:paraId="1CEC08A2" w14:textId="77777777" w:rsidR="00ED176D" w:rsidRDefault="00ED176D" w:rsidP="00AD20A6">
      <w:pPr>
        <w:pStyle w:val="ListParagraph"/>
      </w:pPr>
    </w:p>
    <w:p w14:paraId="6F0A7409" w14:textId="77777777" w:rsidR="00ED176D" w:rsidRDefault="00ED176D" w:rsidP="00ED176D">
      <w:pPr>
        <w:rPr>
          <w:b/>
          <w:bCs/>
          <w:u w:val="single"/>
        </w:rPr>
      </w:pPr>
    </w:p>
    <w:p w14:paraId="0305810D" w14:textId="77777777" w:rsidR="00ED176D" w:rsidRDefault="00ED176D" w:rsidP="00ED176D">
      <w:pPr>
        <w:rPr>
          <w:b/>
          <w:bCs/>
          <w:u w:val="single"/>
        </w:rPr>
      </w:pPr>
    </w:p>
    <w:p w14:paraId="7AB637CB" w14:textId="2A82F03B" w:rsidR="00ED176D" w:rsidRPr="00ED176D" w:rsidRDefault="00AD20A6" w:rsidP="00ED176D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How do I set up a Second </w:t>
      </w:r>
      <w:r w:rsidRPr="00ED176D">
        <w:rPr>
          <w:b/>
          <w:bCs/>
          <w:u w:val="single"/>
        </w:rPr>
        <w:t>SPA</w:t>
      </w:r>
      <w:r w:rsidR="00ED176D" w:rsidRPr="00ED176D">
        <w:rPr>
          <w:b/>
          <w:bCs/>
          <w:u w:val="single"/>
        </w:rPr>
        <w:t xml:space="preserve"> Card Account</w:t>
      </w:r>
      <w:r>
        <w:rPr>
          <w:b/>
          <w:bCs/>
          <w:u w:val="single"/>
        </w:rPr>
        <w:t>?</w:t>
      </w:r>
      <w:r w:rsidR="00ED176D" w:rsidRPr="00ED176D">
        <w:rPr>
          <w:b/>
          <w:bCs/>
          <w:u w:val="single"/>
        </w:rPr>
        <w:t xml:space="preserve"> </w:t>
      </w:r>
    </w:p>
    <w:p w14:paraId="3B875C16" w14:textId="77777777" w:rsidR="00ED176D" w:rsidRDefault="00ED176D" w:rsidP="00ED176D">
      <w:r>
        <w:t xml:space="preserve">If you are using Reloadable SPA cards, and find a participant does not have </w:t>
      </w:r>
      <w:proofErr w:type="gramStart"/>
      <w:r>
        <w:t>a</w:t>
      </w:r>
      <w:proofErr w:type="gramEnd"/>
      <w:r>
        <w:t xml:space="preserve"> SSN, or a valid address, you will need to set up a separate account for One Time use cards.</w:t>
      </w:r>
    </w:p>
    <w:p w14:paraId="52E47CDA" w14:textId="77777777" w:rsidR="00ED176D" w:rsidRDefault="00ED176D" w:rsidP="00ED176D"/>
    <w:p w14:paraId="4A010DB5" w14:textId="1E3EDCA6" w:rsidR="00ED176D" w:rsidRDefault="00ED176D" w:rsidP="00ED176D">
      <w:pPr>
        <w:pStyle w:val="ListParagraph"/>
        <w:numPr>
          <w:ilvl w:val="0"/>
          <w:numId w:val="1"/>
        </w:numPr>
      </w:pPr>
      <w:r>
        <w:t>Submit a new SPA Card application that mirrors the Reloadable Card application.</w:t>
      </w:r>
    </w:p>
    <w:p w14:paraId="1D37D19C" w14:textId="77777777" w:rsidR="00ED176D" w:rsidRDefault="00ED176D" w:rsidP="00ED176D">
      <w:pPr>
        <w:pStyle w:val="ListParagraph"/>
        <w:numPr>
          <w:ilvl w:val="1"/>
          <w:numId w:val="1"/>
        </w:numPr>
      </w:pPr>
      <w:r>
        <w:t xml:space="preserve"> EXCEPT</w:t>
      </w:r>
    </w:p>
    <w:p w14:paraId="70538B27" w14:textId="08667A2E" w:rsidR="00ED176D" w:rsidRDefault="00ED176D" w:rsidP="00ED176D">
      <w:pPr>
        <w:pStyle w:val="ListParagraph"/>
        <w:numPr>
          <w:ilvl w:val="2"/>
          <w:numId w:val="1"/>
        </w:numPr>
      </w:pPr>
      <w:r>
        <w:t xml:space="preserve"> Add “OT” in front of the study title</w:t>
      </w:r>
    </w:p>
    <w:p w14:paraId="20D08147" w14:textId="45A0E698" w:rsidR="00ED176D" w:rsidRDefault="00ED176D" w:rsidP="00ED176D">
      <w:pPr>
        <w:pStyle w:val="ListParagraph"/>
        <w:numPr>
          <w:ilvl w:val="2"/>
          <w:numId w:val="1"/>
        </w:numPr>
      </w:pPr>
      <w:r>
        <w:t xml:space="preserve"> Select card type: “One time “</w:t>
      </w:r>
    </w:p>
    <w:p w14:paraId="48BB3B7F" w14:textId="14B6564F" w:rsidR="00AD20A6" w:rsidRDefault="00AD20A6" w:rsidP="00AD20A6">
      <w:r>
        <w:t>By adding OT in front of the title, you will easily know which one to select from the “list of Projects” page.</w:t>
      </w:r>
    </w:p>
    <w:p w14:paraId="7C0D27C8" w14:textId="77777777" w:rsidR="00ED176D" w:rsidRDefault="00ED176D"/>
    <w:p w14:paraId="2D0BABBE" w14:textId="33C857CA" w:rsidR="00ED176D" w:rsidRDefault="00ED176D"/>
    <w:p w14:paraId="27DCA9F7" w14:textId="77777777" w:rsidR="00ED176D" w:rsidRPr="00106B2B" w:rsidRDefault="00ED176D"/>
    <w:sectPr w:rsidR="00ED176D" w:rsidRPr="00106B2B">
      <w:head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801B6D" w14:textId="77777777" w:rsidR="00011A4A" w:rsidRDefault="00011A4A" w:rsidP="00AD20A6">
      <w:pPr>
        <w:spacing w:after="0" w:line="240" w:lineRule="auto"/>
      </w:pPr>
      <w:r>
        <w:separator/>
      </w:r>
    </w:p>
  </w:endnote>
  <w:endnote w:type="continuationSeparator" w:id="0">
    <w:p w14:paraId="2781A20F" w14:textId="77777777" w:rsidR="00011A4A" w:rsidRDefault="00011A4A" w:rsidP="00AD20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3371E2" w14:textId="77777777" w:rsidR="00011A4A" w:rsidRDefault="00011A4A" w:rsidP="00AD20A6">
      <w:pPr>
        <w:spacing w:after="0" w:line="240" w:lineRule="auto"/>
      </w:pPr>
      <w:r>
        <w:separator/>
      </w:r>
    </w:p>
  </w:footnote>
  <w:footnote w:type="continuationSeparator" w:id="0">
    <w:p w14:paraId="2C8C4C9C" w14:textId="77777777" w:rsidR="00011A4A" w:rsidRDefault="00011A4A" w:rsidP="00AD20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90FB02" w14:textId="77777777" w:rsidR="00AD20A6" w:rsidRPr="00AD20A6" w:rsidRDefault="00AD20A6" w:rsidP="00AD20A6">
    <w:pPr>
      <w:jc w:val="center"/>
      <w:rPr>
        <w:b/>
        <w:bCs/>
        <w:sz w:val="36"/>
        <w:szCs w:val="36"/>
      </w:rPr>
    </w:pPr>
    <w:r w:rsidRPr="00AD20A6">
      <w:rPr>
        <w:b/>
        <w:bCs/>
        <w:sz w:val="36"/>
        <w:szCs w:val="36"/>
      </w:rPr>
      <w:t>Frequently Asked Questions for SPA Cards</w:t>
    </w:r>
  </w:p>
  <w:p w14:paraId="59CD3748" w14:textId="77777777" w:rsidR="00AD20A6" w:rsidRDefault="00AD20A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331ED9"/>
    <w:multiLevelType w:val="hybridMultilevel"/>
    <w:tmpl w:val="3D36B4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B2080A"/>
    <w:multiLevelType w:val="hybridMultilevel"/>
    <w:tmpl w:val="60867EE8"/>
    <w:lvl w:ilvl="0" w:tplc="F49ED84C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5D20D2"/>
    <w:multiLevelType w:val="hybridMultilevel"/>
    <w:tmpl w:val="ABBCC6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6019CD"/>
    <w:multiLevelType w:val="hybridMultilevel"/>
    <w:tmpl w:val="8368AB42"/>
    <w:lvl w:ilvl="0" w:tplc="2E586A8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B2B"/>
    <w:rsid w:val="00011A4A"/>
    <w:rsid w:val="000C2553"/>
    <w:rsid w:val="00106B2B"/>
    <w:rsid w:val="00365808"/>
    <w:rsid w:val="0078322B"/>
    <w:rsid w:val="00955EBA"/>
    <w:rsid w:val="00AD20A6"/>
    <w:rsid w:val="00ED1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9A1896"/>
  <w15:chartTrackingRefBased/>
  <w15:docId w15:val="{5BEA55DC-598E-4065-B54B-6E5F8EB87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06B2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6B2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D176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D20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20A6"/>
  </w:style>
  <w:style w:type="paragraph" w:styleId="Footer">
    <w:name w:val="footer"/>
    <w:basedOn w:val="Normal"/>
    <w:link w:val="FooterChar"/>
    <w:uiPriority w:val="99"/>
    <w:unhideWhenUsed/>
    <w:rsid w:val="00AD20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20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hyperlink" Target="mailto:researchstipend@uth.tmc.edu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408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Campbell, Roy Lee</dc:creator>
  <cp:keywords/>
  <dc:description/>
  <cp:lastModifiedBy>Felder-Robinson, Monekia</cp:lastModifiedBy>
  <cp:revision>2</cp:revision>
  <dcterms:created xsi:type="dcterms:W3CDTF">2025-10-10T17:06:00Z</dcterms:created>
  <dcterms:modified xsi:type="dcterms:W3CDTF">2025-10-10T17:06:00Z</dcterms:modified>
</cp:coreProperties>
</file>